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Извещение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начале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 выполнения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 комплексных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 кадастровых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работ</w:t>
      </w:r>
      <w:r>
        <w:rPr>
          <w:rFonts w:ascii="Times New Roman" w:hAnsi="Times New Roman" w:cs="Times New Roman"/>
          <w:b/>
          <w:bCs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bCs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Par55"/>
      <w:r>
        <w:rPr>
          <w:rFonts w:ascii="Times New Roman" w:hAnsi="Times New Roman" w:eastAsia="Times New Roman" w:cs="Times New Roman"/>
          <w:sz w:val="24"/>
          <w:szCs w:val="24"/>
        </w:rPr>
      </w:r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период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02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апреля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2024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15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октября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2024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г.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отношении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объектов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недвижимости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расположенных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территории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Артемовского городского округа в кадастровом квартале 25:27:030106 будут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выполняться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комплексные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кадастровые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соответствии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RU"/>
        </w:rPr>
        <w:t xml:space="preserve"> муниципальным контрактом № 20/08А от 02.04.2024,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заключенным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стороны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заказчика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Администрация Артемовского городского округа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почтовый адрес: 692760,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  <w:u w:val="none"/>
          <w:lang w:val="ru-RU"/>
        </w:rPr>
        <w:t xml:space="preserve"> Приморский край, г. Артем, ул. Кирова, 48.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  <w:u w:val="none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  <w:u w:val="none"/>
          <w:lang w:val="ru-RU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  <w:u w:val="none"/>
          <w:lang w:val="en-US"/>
        </w:rPr>
      </w:r>
      <w:hyperlink r:id="rId9" w:tooltip="http://aums2014@mail.ru" w:history="1">
        <w:r>
          <w:rPr>
            <w:rStyle w:val="825"/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24"/>
            <w:u w:val="none"/>
            <w:lang w:val="en-US"/>
          </w:rPr>
          <w:t xml:space="preserve">aums2014@mail.ru</w:t>
        </w:r>
        <w:r>
          <w:rPr>
            <w:rStyle w:val="825"/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4"/>
            <w:szCs w:val="24"/>
            <w:lang w:val="ru-RU"/>
          </w:rPr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  <w:u w:val="none"/>
          <w:lang w:val="ru-RU"/>
        </w:rPr>
        <w:t xml:space="preserve">; номер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телефона: 8 (42337) 9-17-73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/>
          <w:bCs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lang w:val="ru-RU"/>
        </w:rPr>
        <w:t xml:space="preserve">Со стороны исполнителя:</w:t>
      </w:r>
      <w:r>
        <w:rPr>
          <w:rFonts w:ascii="Times New Roman" w:hAnsi="Times New Roman" w:cs="Times New Roman"/>
          <w:b/>
          <w:bCs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 w:val="0"/>
          <w:strike w:val="0"/>
          <w:sz w:val="24"/>
          <w:szCs w:val="24"/>
          <w:highlight w:val="none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Общество с ограниченной ответственностью «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ИНЖКАДАСТРВЛАД-ДВ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почтовый адрес: 690014, Приморский край, г. Владивосток, ул. Некрасовская, д. 36Б, офис 515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Адрес электронной почты: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en-US"/>
        </w:rPr>
        <w:t xml:space="preserve">office@ikv-dv.ru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; номер телефона: 79147030311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  <w:lang w:val="ru-RU"/>
        </w:rPr>
        <w:t xml:space="preserve">Кадастровые инженеры, осуществляющие кадастровую деятельность: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  <w:lang w:val="ru-RU"/>
        </w:rPr>
        <w:t xml:space="preserve">Лепушенко Ксения Ивановна;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Наименование саморегулируемой организации кадастровых инженеров, членом которой является кадастровый инженер: А СРО «Кадастровые инженеры»;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5740;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  <w:t xml:space="preserve"> 29.10.2015;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Адрес электронной почты: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en-US"/>
        </w:rPr>
        <w:t xml:space="preserve"> lepushenko@gmail.com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Номер контактного телефона: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  <w:t xml:space="preserve"> +7 (951) 007-74-46.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szCs w:val="24"/>
          <w:highlight w:val="none"/>
          <w:lang w:val="ru-RU"/>
        </w:rPr>
        <w:t xml:space="preserve">Пинчук Валерия Валерьевна;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А СРО «Кадастровые инженеры»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10369;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  <w:t xml:space="preserve"> 22.06.2023;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Адрес электронной почты: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en-US"/>
        </w:rPr>
        <w:t xml:space="preserve">Lerik_24@mail.ru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844"/>
        <w:ind w:left="283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  <w:t xml:space="preserve">Номер контактного телефона: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  <w:t xml:space="preserve"> +7 (924) 525-77-76.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lang w:val="ru-RU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Par84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N 218-ФЗ "О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государственной регистрации недвижимости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ранее учтенными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RU"/>
        </w:rPr>
        <w:t xml:space="preserve">или сведения о которых в соответствии с частью 9 статьи 69 Федерального закона от 13 июля 2015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N 218-ФЗ "О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государственной регистрации недвижимости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могут быть внесены в Единый государ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пункте 1 извещения о начале выполнения комплексных кадастровых рабо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т кадастровым инженерам -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N 218-ФЗ "О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государственной регистрации недвижимости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",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копии документов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lang w:val="ru-RU"/>
        </w:rPr>
        <w:t xml:space="preserve">, устанавливающих или подтверждающих права на указанные объекты недвижимости.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Правообладатели объектов недвижимости – земельных участков, зданий, сооружений, объектов незавершенного строительства в течение тридцати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рабочих дней со дня опубликования извещения о начале выполнения комплексных кадастровых работ вправе предоставить кадастровым инженерам – исполнителям комплексных кадастровых работ, указанным в пункте 1 извещения о начале выполнения комплексных кадастровы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х работ, по указанному в пункте 1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 Правообладатели объектов недвижимости, расп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4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lang w:val="ru-RU"/>
        </w:rPr>
        <w:t xml:space="preserve">График выполнения комплексных кадастровых работ: 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tbl>
      <w:tblPr>
        <w:tblW w:w="10216" w:type="dxa"/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7654"/>
      </w:tblGrid>
      <w:tr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120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Перечень видов работ, входящих в объем работ по исполнению муниципального контракта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Технические параметры выполняемых работ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before="240" w:after="120"/>
              <w:widowControl w:val="off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Подготовительные работы (получение, сбор и анализ документов,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роведение полевых работ)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ККР: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 в объеме, предусмотренном Законом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кадастровой деятельности, а также проводит анализ данных об ОН и их правообладателях в целях определения и актуализации сведений об ОН, расположенных в кадастровом квартале, а также определения «дублирующих» сведений ЕГРН об ОН и подлежащих снятию с ГКУ;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проводит анализ расположения участков, расположенных на территориях возникновения чрезвычайных ситуаций техногенного характера (мульды проседания; территории, опасные по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выходу шахтных газов (метана) на поверхность; территории, угрожаемые по образованию провалов; шахтные поля отработанных шахт с глубиной 60-400 метров; подработанные площадки Артемовского месторождения с отработкой угольных пластов на глубине до 60 метров)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проводит анализ расположения земельных участков в гран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ицах зон затопления, подтопления;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получает положительное горно-геологического обоснования застройки земельного участка, в случае образования земельного участка, расположенного на территориях возникновения чрезвычайных с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итуаций техногенного характера (мульды проседания; территории, опасные по выходу шахтных газов (метана) на поверхность; территории, угрожаемые по образованию провалов; шахтные поля отработанных шахт с глубиной 60-400 метров; подработанные площадки Артемовс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кого месторождения с отработкой угольных пластов на глубине до 60 метров), за исключением образования земельных участков с видами разрешенного использования «улично-дорожная сеть» (код 12.0.1), «благоустройство территории» (код 12.0.2) (при необходимости);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r>
          </w:p>
          <w:p>
            <w:pPr>
              <w:ind w:firstLine="739"/>
              <w:jc w:val="both"/>
              <w:widowControl w:val="off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получает технического заключения о выполненных мероприятиях, позволяющих использовать земельный участок под строительство, в случае расположения земельных участков в границах зон затопления, подтопления (при необходимости);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r>
          </w:p>
          <w:p>
            <w:pPr>
              <w:ind w:firstLine="739"/>
              <w:jc w:val="both"/>
              <w:widowControl w:val="off"/>
              <w:tabs>
                <w:tab w:val="left" w:pos="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уведомляет пра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вообладателей ОН о начале проведения ККР путем направления извещений о начале выполнения ККР по форме, утвержденной приказом Минэкономразвития России от 23.04.2015 № 254  «Об утверждении формы извещения о начале выполнения комплексных кадастровых работ 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по адресам и адресам электронной почты правообладателей ОН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 позднее 10 рабочих дней с даты заключения контракта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путем направления извещений почтой России заказным письмом с заказным уведомлением о вручении;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39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внесение в ЕГРН сведений об адресе (почтовом) и адресе электронной почты правообладателей ОН, в срок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 менее чем за 5 дней до дня опубликования, размещения и направления извещения о проведении заседания Согласительной комиссии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39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определение координат характерных точек границ объектов недвижимости, расположенных в кадастровом квартале, в отношении которого проводятся ККР, методами, определенными Приказом № П/ 0337 от 04.08.2021 «Об установлении формы карта-плана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ерритории, формы акта согласования установления границ земельных участков при выполнении комплексных кадастровых работ и требований к их подготовке». Определяет перечень объектов недвижимости, сведения о которых необходимо включить в карту-план территории;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39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запрашивает письменное согласие у правообладателя земельного участка с результатами ККР в случае, если при исправлении реестровой ошибки в описании местоположения границ такого земельного участка получено значение площади земельного участка, которо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меньше значения площади земельного участка, сведения о которой относительно этого земельного участка содержатся в ЕГРН, более чем на десять процентов, и отсутствует возможность соблюдения требований пункта 1 статьи 42.8 Закона о кадастровой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внесение в ЕГРН сведений обо всех ранее учтенных объектах недвижимости (далее – РУОН), расположенных на территориях кадастрового квартала, в границах которого проводятся ККР;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обследует пункты исходной геодезической основы (в случае выполнения работ геодезическим методом, методом спутниковых геодезических измерений (определений);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выполняет инженерно-геодезичес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кие работы на территории проведения ККР: обследование ОН, определение характеристик ОН, определение местоположения (координат) ОН, обеспечивающие соответствующую точность определения координат ОН в соответствии с требованиями действующего законодательства;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получении документов о РУОН от правообладателей ОН выдает последнему расписку с указанием перечня документов и даты их получения.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Отчетность по исполнению Подготовительных работ: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right="185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 ежемесячно 2 раза в месяц (начиная с даты заключения контракта) направляет Заказчику актуализированную аналитическую таблицу с нарастающим итогом, содержащую: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13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информацию в отношении ОН;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13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данные о правообладателях ОН;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13"/>
              <w:jc w:val="both"/>
              <w:widowControl w:val="off"/>
              <w:tabs>
                <w:tab w:val="left" w:pos="4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 трек-номерах и дате направления уведомлений право-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обладателям ОН о начале проведения ККР (направленных почтой России);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13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информацию о направлении в орган регистрации прав (далее – ОРП) заявлений о внесении в ЕГРН сведений об адресе электронной почты, об адресе (по которым осуществляется связь с правообладателями ОН);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13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информацию о направлении в ОРП заявлений о внесении в ЕГРН сведений о РУОН (сведения, о которых предоставлены правообладателями данных ОН, Заказчиком и иными лицами).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предоставляет Заказчику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уведомления с отметками о вручении/не вручении правообладателям ОН извещений о начале проведения ККР;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документы, подтверждающие внесение в ЕГРН соответствующих сведений об ОН (выписки из ЕГРН, решения ОРП).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before="240" w:after="12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Мероприятия по подготовке карты-плана: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(полевые и камеральные работы, подготовка проекта межевания (при необходимости)).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Срок – не позднее 01.07.2024 года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ind w:right="-108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Мероприятия: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right="-108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осуществляет образование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земельных участков, в соответствии с: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right="43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распоряжением департамента архитектуры и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звития территорий Приморского края от 08.09.2023 № 21-ра «Об утверждении документации по планировке территории объекта регионального значения "Реконструкция мостового перехода через ручей на км 9+313 автомобильной дороги Угловое - Артем в Приморском крае»;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43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аспоряжением департамента архитектуры и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азвития территорий Приморского края от 13.09.2023 № 22-ра «Об утверждении документации по планировке территории объекта регионального значения «Реконструкция мостового перехода через ручей на км 7+465 автомобильной дороги Угловое - Артем в Приморском крае»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43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постановлением главы Артемовского городского округа от 03.08.2021 № 265-пг «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bidi="ru-RU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документации по планировке территории земельных участков, расположенных в районе русла реки Озерные Ключи, от земельного участка с кадастровым номером 25:27:020102:387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до пересечения с ул. Кирова, в Артемовском городском округе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43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остановлением главы Артемовского городского округа от 28.10.2019 № 275-пг «Об утверждении документации по планировке территории для строительства объекта «Ливневая канализация в районе ул. Кирова, 10/1 в г. Артеме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43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остановлением главы Артемовского городского округа от 13.08.2021 № 269-пг «Об утверждении документации по проекту планировки территории, содержащему проект межевания территории, расположенной по адресу: Приморский край, г. Артем,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районе ул. Ульяновской, 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ind w:right="43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       постановлением главы Артемовского городского округа от 20.05.2022 № 54-пг «Об утверждении документации по планировке территории, содержащей проект межевания территории, в районе улицы Чапаева - улицы Фрунзе в городе Артеме»;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ind w:right="43" w:firstLine="455"/>
              <w:jc w:val="both"/>
              <w:widowControl w:val="off"/>
              <w:tabs>
                <w:tab w:val="left" w:pos="1746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постановлением главы Артемовского городского округа    № 27-пг от 04.02.2019 «Об утверждении документации по планировке территории линейного объекта «Автомобильная дорога по ул. Кирова от ул. Интернациональной до слияния с      ул. Фрунзе» в г. Артеме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земельных участках, на которых расположены зда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в том числе многоквартирные жилые дома, сооружения (за исключением   линейных объектов); общего пользования, занятых площадями, улицами, проездами, набережными, скверами, бульварами водными объектами и пляжами, и другими объектами общего пользования).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 направляет Заказчику ККР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23" w:firstLine="474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выявленных ОН (земельных участков, зданий), которые не содержатся в ЕГРН и в отношении которых отсутствуют правоустанавливающие (право удостоверяющие документы);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23" w:firstLine="474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сведения о границах фактического использования земельных участков, если сведения о таких границах не могут быть внесены в ЕГРН.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 направляет Заказчику и в территориальный орган федерального органа исполнительной власти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уполномоченного на осуществление государственного земельного надзора перечень выявленных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 (земельных участков, зданий), которые не содержатся в ЕГРН и в отношении которых отсутствуют правоустанавливающие (правоудостоверяющие документы), посредством направления соответствующего заказного письма почтой России с заказным уведомлением о вручении.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осуществляет разработку, подготовку проекта карты-плана территории в соответствии требованиями НПА и направление ее Заказчику ККР;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23" w:firstLine="616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несение в ЕГРН сведений о РУОН, расположенных на территориях кадастрового квартала, в границах которого проводится проведение ККР, в случае поступления таких сведений от правообладателей ОН, вносит соответствующие изменения в проект карты-плана территории;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23" w:firstLine="616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проводит проверку карты-плана территории на соответствие требованиям посредством сервиса «Личный кабинет кадастрового инженера» сайта Росреестра с формированием протокола проверки и предоставляет результаты такой проверки Заказчику ККР;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23" w:firstLine="616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 на местности местоположение границ земельных участков в соответствии с картой-планом по требованию правообладателей 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 определении координат ОН должен использовать системы координат, принятые для ведения государственного кадастра недвижимости на территории Приморского края с определенными для нее параметрами перехода к единой государственной системе координат;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Графическая часть карта (плана) территории должна быть выполнена на картографическом материале с использованием ортофотоплана, размер проекции пикселя которого на местности не должен превышать 5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Отчетность по исполнению подготовительных работ: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 ККР ежемесячно 2 раза в месяц (начиная с даты заключения контракта) направляет Заказчику актуализированную аналитическую таблицу с нарастающим итогом, содержащую: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информацию в отношении ОН;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данные о правообладателях ОН;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трек-номерах и дате направления уведомлений правообладателям ОН о начале проведения ККР (направленных почтой России);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информацию о направлении в орган регистрации прав (далее – ОРП) заявлений о внесении в ЕГРН сведений об адресе электронной почты, об адресе (по которым осуществляется связь с правообладателями ОН);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информацию о направлении в ОРП заявлений о внесении в ЕГРН сведений о РУОН (сведения, о которых предоставлены правообладателями данных ОН, Заказчиком и иными лицами);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 ККР предоставляет Заказчику: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уведомления с отметками о вручении/не вручении правообладателям ОН извещений о начале проведения ККР;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документы, подтверждающие внесение в ЕГРН соответствующих сведений об ОН (выписки из ЕГРН, решения ОРП).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before="240" w:after="12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Мероприятия по согласованию, утверждению карты-плана, внесению сведений в ЕГРН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Срок – не позднее 15.10.2024</w:t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готовит и направляет проект карты-плана Заказчику ККР в формате электронного документа, заверенного усиленной квалифицированной электронной подписью кадастрового инженера, а также в форме документа на бумажном носителе;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принимает участие в заседаниях Согласительной комиссии по рассмотрению проекта карты-плана территории в целях обоснования и пояснения результатов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проводит работу с возражениями, поступившими от заинтересованных лиц;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вносит изменения в карту-план территории в соответствии с заключениями согласительной комиссии о необходимости изменения исполнителем комплексных кадастровых работ карты-плана территории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 срок не более 10 календарных дней со дня направления заключения согласительной комиссии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оформляет карту-план территории и направляет ее Заказчику в окончательной редакции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 срок не более 10 календарных дней со дня направления информации согласительной комиссии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30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Карты-планы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территории, подготовленные Исполнителем ККР для направления Заказчику в целях утверждения в форме документа на бумажном носителе, прошиваются и скрепляются подписью и оттиском печати кадастрового инженера на обороте последнего листа карт-планов территории.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Карты-планы территории, сформированные Исполнителем для направления Заказчику, в форме электронного документа в виде XML-до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кумента, заверяются усиленной квалифицированной электронной подписью кадастрового инженера; в форме электронных образов бумажных документов в виде файлов в формате PDF также заверяются усиленной квалифицированной электронной подписью кадастрового инженера.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firstLine="455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проводит повторную проверку карты-плана территории на соответствие требованиям посредством сервиса «Личный кабинет кадастрового инженера» сайта Росреестра с формированием протокола проверки и предоставляет результаты такой проверки Заказчику;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направляет карта-план территории в ОРП (по доверенности от Заказчика) в срок не более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 рабочих дней с даты утверждения;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97"/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 на местности местоположение границ земельных участков в соответствии с картой-планом по требованию правообладателей ОН.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Карты-планы территории в форме документа на бумажном носителе формируются Исполнителем для направления Заказчику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 3 (трех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экземплярах.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Отчетность по исполнению Мероприятий: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widowControl w:val="off"/>
              <w:tabs>
                <w:tab w:val="left" w:pos="34" w:leader="none"/>
                <w:tab w:val="left" w:pos="40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 ККР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направляет Заказчику решение ОРП о внесении соответствующих сведений в ЕГРН по результатам рассмотрения карты-плана территории, выписки из ЕГРН в отношении ОН, подтверждающие успешное завершением проведения комплексных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Normal"/>
    <w:qFormat/>
  </w:style>
  <w:style w:type="paragraph" w:styleId="665">
    <w:name w:val="Heading 1"/>
    <w:basedOn w:val="664"/>
    <w:next w:val="664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664"/>
    <w:next w:val="664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664"/>
    <w:next w:val="664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664"/>
    <w:next w:val="664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4"/>
    <w:next w:val="664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4"/>
    <w:next w:val="664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64"/>
    <w:next w:val="664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664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664"/>
    <w:next w:val="664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664"/>
    <w:next w:val="664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664"/>
    <w:next w:val="664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664"/>
    <w:next w:val="664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664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664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4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6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84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4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84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4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84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84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49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5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5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aums2014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23.04.2015 N 254(ред. от 25.09.2019)&amp;quot;Об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работ&amp;quot;(Зарегистрировано в Минюсте России 03.07.2015 N 37894)</dc:title>
  <dc:creator/>
  <cp:revision>5</cp:revision>
  <dcterms:modified xsi:type="dcterms:W3CDTF">2024-04-07T23:27:53Z</dcterms:modified>
</cp:coreProperties>
</file>