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СВЕДЕНИЯ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О НАЛИЧИИ ВАКАНСИЙ В АДМИНИСТРАЦИИ АРТЕМОВСКОГО ГОРОДСКОГО ОКРУГА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 состоянию на </w:t>
      </w:r>
      <w:r>
        <w:rPr>
          <w:b/>
          <w:lang w:val="en-US"/>
        </w:rPr>
        <w:t xml:space="preserve">2</w:t>
      </w:r>
      <w:r>
        <w:rPr>
          <w:b/>
          <w:lang w:val="ru-RU"/>
        </w:rPr>
        <w:t xml:space="preserve">8</w:t>
      </w:r>
      <w:r>
        <w:rPr>
          <w:b/>
        </w:rPr>
        <w:t xml:space="preserve">.02.2025 г.</w:t>
      </w:r>
      <w:r>
        <w:rPr>
          <w:b/>
        </w:rPr>
      </w:r>
      <w:r>
        <w:rPr>
          <w:b/>
        </w:rPr>
      </w:r>
    </w:p>
    <w:tbl>
      <w:tblPr>
        <w:tblW w:w="5084" w:type="pct"/>
        <w:tblInd w:w="3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61"/>
        <w:gridCol w:w="1701"/>
        <w:gridCol w:w="568"/>
        <w:gridCol w:w="1420"/>
        <w:gridCol w:w="1132"/>
        <w:gridCol w:w="1919"/>
        <w:gridCol w:w="717"/>
        <w:gridCol w:w="2325"/>
        <w:gridCol w:w="2133"/>
        <w:gridCol w:w="859"/>
        <w:gridCol w:w="988"/>
      </w:tblGrid>
      <w:tr>
        <w:tblPrEx/>
        <w:trPr/>
        <w:tc>
          <w:tcPr>
            <w:tcW w:w="2061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профессии (специальности), должности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Специальность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Кол-во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Характер работы (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постоянная, временная</w:t>
            </w:r>
            <w:r>
              <w:rPr>
                <w:rFonts w:ascii="Times New Roman" w:hAnsi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Заработная плата (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без вычета подоходного налога</w:t>
            </w:r>
            <w:r>
              <w:rPr>
                <w:rFonts w:ascii="Times New Roman" w:hAnsi="Times New Roman" w:cs="Times New Roman"/>
                <w:sz w:val="20"/>
              </w:rPr>
              <w:t xml:space="preserve">), руб.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gridSpan w:val="2"/>
            <w:tcW w:w="2636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Режим работы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Профессионально-квалификационные требования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133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Дополнительные пожелания к кандидатуре работника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Квотируемое рабочее место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результатам конкурса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2061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</w:rPr>
              <w:t xml:space="preserve">Кневичи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Экономика, юриспруденция, ГМУ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113 750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 образование не ниже уровня </w:t>
            </w:r>
            <w:r>
              <w:rPr>
                <w:rFonts w:ascii="Times New Roman" w:hAnsi="Times New Roman" w:cs="Times New Roman"/>
                <w:sz w:val="20"/>
              </w:rPr>
              <w:t xml:space="preserve">специалитета</w:t>
            </w:r>
            <w:r>
              <w:rPr>
                <w:rFonts w:ascii="Times New Roman" w:hAnsi="Times New Roman" w:cs="Times New Roman"/>
                <w:sz w:val="20"/>
              </w:rPr>
              <w:t xml:space="preserve">/магистратуры.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7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4 лет стажа муниципальной службы или стажа работы по специальности, направлению подготовки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33" w:type="dxa"/>
            <w:textDirection w:val="lrTb"/>
            <w:noWrap w:val="false"/>
          </w:tcPr>
          <w:p>
            <w:pPr>
              <w:ind w:right="-105"/>
            </w:pPr>
            <w:r>
              <w:t xml:space="preserve">Стрессоустойчивость; ответственность;</w:t>
            </w:r>
            <w:r/>
          </w:p>
          <w:p>
            <w:r>
              <w:t xml:space="preserve">самостоятельность;</w:t>
            </w:r>
            <w:r/>
          </w:p>
          <w:p>
            <w:r>
              <w:t xml:space="preserve">неконфликтность</w:t>
            </w:r>
            <w:r>
              <w:t xml:space="preserve">; </w:t>
            </w:r>
            <w:r/>
          </w:p>
          <w:p>
            <w:r>
              <w:t xml:space="preserve">умение работать в команде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jc w:val="center"/>
            </w:pPr>
            <w:r>
              <w:t xml:space="preserve">Да</w:t>
            </w:r>
            <w:r/>
          </w:p>
        </w:tc>
      </w:tr>
      <w:tr>
        <w:tblPrEx/>
        <w:trPr/>
        <w:tc>
          <w:tcPr>
            <w:tcW w:w="2061" w:type="dxa"/>
            <w:vMerge w:val="restart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«Угловое»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Экономика, юриспруденция, ГМУ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113 750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25" w:type="dxa"/>
            <w:vMerge w:val="restart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 образование не ниже уровня </w:t>
            </w:r>
            <w:r>
              <w:rPr>
                <w:rFonts w:ascii="Times New Roman" w:hAnsi="Times New Roman" w:cs="Times New Roman"/>
                <w:sz w:val="20"/>
              </w:rPr>
              <w:t xml:space="preserve">специалитета</w:t>
            </w:r>
            <w:r>
              <w:rPr>
                <w:rFonts w:ascii="Times New Roman" w:hAnsi="Times New Roman" w:cs="Times New Roman"/>
                <w:sz w:val="20"/>
              </w:rPr>
              <w:t xml:space="preserve">/магистратуры.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7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4 лет стажа муниципальной службы или стажа работы по специальности, направлению подготовки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33" w:type="dxa"/>
            <w:vMerge w:val="restart"/>
            <w:textDirection w:val="lrTb"/>
            <w:noWrap w:val="false"/>
          </w:tcPr>
          <w:p>
            <w:pPr>
              <w:ind w:right="-105"/>
            </w:pPr>
            <w:r>
              <w:t xml:space="preserve">Стрессоустойчивость; ответственность;</w:t>
            </w:r>
            <w:r/>
          </w:p>
          <w:p>
            <w:r>
              <w:t xml:space="preserve">самостоятельность;</w:t>
            </w:r>
            <w:r/>
          </w:p>
          <w:p>
            <w:r>
              <w:t xml:space="preserve">неконфликтность</w:t>
            </w:r>
            <w:r>
              <w:t xml:space="preserve">; </w:t>
            </w:r>
            <w:r/>
          </w:p>
          <w:p>
            <w:r>
              <w:t xml:space="preserve">умение работать в команде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Да</w:t>
            </w:r>
            <w:r/>
          </w:p>
        </w:tc>
      </w:tr>
      <w:tr>
        <w:tblPrEx/>
        <w:trPr/>
        <w:tc>
          <w:tcPr>
            <w:tcW w:w="2061" w:type="dxa"/>
            <w:vMerge w:val="restart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Заместитель начальника управления образования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Экономика, юриспруденция, ГМУ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101 720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7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25" w:type="dxa"/>
            <w:vMerge w:val="restart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 образование не ниже уровня </w:t>
            </w:r>
            <w:r>
              <w:rPr>
                <w:rFonts w:ascii="Times New Roman" w:hAnsi="Times New Roman" w:cs="Times New Roman"/>
                <w:sz w:val="20"/>
              </w:rPr>
              <w:t xml:space="preserve">специалитета</w:t>
            </w:r>
            <w:r>
              <w:rPr>
                <w:rFonts w:ascii="Times New Roman" w:hAnsi="Times New Roman" w:cs="Times New Roman"/>
                <w:sz w:val="20"/>
              </w:rPr>
              <w:t xml:space="preserve">/магистратуры.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7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менее 4 лет стажа муниципальной службы или стажа работы по специальности, направлению подготовки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33" w:type="dxa"/>
            <w:vMerge w:val="restart"/>
            <w:textDirection w:val="lrTb"/>
            <w:noWrap w:val="false"/>
          </w:tcPr>
          <w:p>
            <w:pPr>
              <w:ind w:right="-105"/>
            </w:pPr>
            <w:r>
              <w:t xml:space="preserve">Стрессоустойчивость; ответственность;</w:t>
            </w:r>
            <w:r/>
          </w:p>
          <w:p>
            <w:r>
              <w:t xml:space="preserve">самостоятельность;</w:t>
            </w:r>
            <w:r/>
          </w:p>
          <w:p>
            <w:r>
              <w:t xml:space="preserve">неконфликтность</w:t>
            </w:r>
            <w:r>
              <w:t xml:space="preserve">; </w:t>
            </w:r>
            <w:r/>
          </w:p>
          <w:p>
            <w:r>
              <w:t xml:space="preserve">умение работать в команде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8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/>
        <w:tc>
          <w:tcPr>
            <w:tcW w:w="2061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отдела культуры и туризма управления культуры, туризма и молодежной политики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ГМУ, экономика, юриспруденция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Временная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89 760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r>
              <w:t xml:space="preserve">Высшее образование.</w:t>
            </w:r>
            <w:r/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r>
              <w:t xml:space="preserve">Без предъявления требований к стажу.</w:t>
            </w:r>
            <w:r/>
          </w:p>
          <w:p>
            <w:r>
              <w:t xml:space="preserve">Желателен опыт работы в данной отрасли</w:t>
            </w:r>
            <w:r/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133" w:type="dxa"/>
            <w:textDirection w:val="lrTb"/>
            <w:noWrap w:val="false"/>
          </w:tcPr>
          <w:p>
            <w:pPr>
              <w:ind w:right="-105"/>
            </w:pPr>
            <w:r>
              <w:t xml:space="preserve">Стрессоустойчивость; ответственность;</w:t>
            </w:r>
            <w:r/>
          </w:p>
          <w:p>
            <w:r>
              <w:t xml:space="preserve">самостоятельность;</w:t>
            </w:r>
            <w:r/>
          </w:p>
          <w:p>
            <w:r>
              <w:t xml:space="preserve">неконфликтность</w:t>
            </w:r>
            <w:r>
              <w:t xml:space="preserve">; </w:t>
            </w:r>
            <w:r/>
          </w:p>
          <w:p>
            <w:r>
              <w:t xml:space="preserve">умение работать в команде</w:t>
            </w:r>
            <w:r/>
          </w:p>
          <w:p>
            <w:pPr>
              <w:ind w:right="-105"/>
            </w:pPr>
            <w:r/>
            <w:r/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696"/>
        </w:trPr>
        <w:tc>
          <w:tcPr>
            <w:tcW w:w="2061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 специалист управления информационной политики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Журналистика, ГМУ, связи с общественностью, прикладная информатика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Временная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64 092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r>
              <w:t xml:space="preserve">Высшее образование.</w:t>
            </w:r>
            <w:r/>
          </w:p>
          <w:p>
            <w:r/>
            <w:r/>
          </w:p>
          <w:p>
            <w:r>
              <w:t xml:space="preserve">Без предъявления требований к стажу.</w:t>
            </w:r>
            <w:r/>
          </w:p>
          <w:p>
            <w:r>
              <w:t xml:space="preserve">Желателен опыт работы в данной отрасли</w:t>
            </w:r>
            <w:r/>
          </w:p>
          <w:p>
            <w:pPr>
              <w:pStyle w:val="7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33" w:type="dxa"/>
            <w:textDirection w:val="lrTb"/>
            <w:noWrap w:val="false"/>
          </w:tcPr>
          <w:p>
            <w:pPr>
              <w:ind w:right="-105"/>
            </w:pPr>
            <w:r>
              <w:t xml:space="preserve">Стрессоустойчивость; ответственность;</w:t>
            </w:r>
            <w:r/>
          </w:p>
          <w:p>
            <w:r>
              <w:t xml:space="preserve">самостоятельность;</w:t>
            </w:r>
            <w:r/>
          </w:p>
          <w:p>
            <w:r>
              <w:t xml:space="preserve">неконфликтность</w:t>
            </w:r>
            <w:r>
              <w:t xml:space="preserve">; </w:t>
            </w:r>
            <w:r/>
          </w:p>
          <w:p>
            <w:r>
              <w:t xml:space="preserve">умение работать в команде; высокая работоспособность</w:t>
            </w:r>
            <w:r/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696"/>
        </w:trPr>
        <w:tc>
          <w:tcPr>
            <w:tcW w:w="2061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специалист управления ЗАГС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Юриспруденция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61 399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Вт-</w:t>
            </w:r>
            <w:r>
              <w:rPr>
                <w:rFonts w:ascii="Times New Roman" w:hAnsi="Times New Roman" w:cs="Times New Roman"/>
                <w:sz w:val="20"/>
              </w:rPr>
              <w:t xml:space="preserve">сб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r>
              <w:t xml:space="preserve">Высшее образование.</w:t>
            </w:r>
            <w:r/>
          </w:p>
          <w:p>
            <w:r/>
            <w:r/>
          </w:p>
          <w:p>
            <w:r>
              <w:t xml:space="preserve">Без предъявления требований к стажу.</w:t>
            </w:r>
            <w:r/>
          </w:p>
          <w:p>
            <w:r>
              <w:t xml:space="preserve">Желателен опыт работы в данной отрасли</w:t>
            </w:r>
            <w:r/>
          </w:p>
          <w:p>
            <w:r/>
            <w:r/>
          </w:p>
        </w:tc>
        <w:tc>
          <w:tcPr>
            <w:tcW w:w="2133" w:type="dxa"/>
            <w:textDirection w:val="lrTb"/>
            <w:noWrap w:val="false"/>
          </w:tcPr>
          <w:p>
            <w:pPr>
              <w:ind w:right="-105"/>
            </w:pPr>
            <w:r>
              <w:t xml:space="preserve">Стрессоустойчивость; ответственность;</w:t>
            </w:r>
            <w:r/>
          </w:p>
          <w:p>
            <w:r>
              <w:t xml:space="preserve">самостоятельность;</w:t>
            </w:r>
            <w:r/>
          </w:p>
          <w:p>
            <w:r>
              <w:t xml:space="preserve">неконфликтность</w:t>
            </w:r>
            <w:r>
              <w:t xml:space="preserve">; </w:t>
            </w:r>
            <w:r/>
          </w:p>
          <w:p>
            <w:r>
              <w:t xml:space="preserve">умение работать в команде; высокая работоспособность</w:t>
            </w:r>
            <w:r/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jc w:val="center"/>
            </w:pPr>
            <w:r>
              <w:t xml:space="preserve">Да</w:t>
            </w:r>
            <w:r/>
          </w:p>
        </w:tc>
      </w:tr>
    </w:tbl>
    <w:p>
      <w:r/>
      <w:bookmarkStart w:id="0" w:name="_GoBack"/>
      <w:r/>
      <w:bookmarkEnd w:id="0"/>
      <w:r/>
      <w:r/>
    </w:p>
    <w:tbl>
      <w:tblPr>
        <w:tblW w:w="5084" w:type="pct"/>
        <w:tblInd w:w="3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60"/>
        <w:gridCol w:w="1845"/>
        <w:gridCol w:w="423"/>
        <w:gridCol w:w="1419"/>
        <w:gridCol w:w="1131"/>
        <w:gridCol w:w="1918"/>
        <w:gridCol w:w="713"/>
        <w:gridCol w:w="2334"/>
        <w:gridCol w:w="2124"/>
        <w:gridCol w:w="858"/>
        <w:gridCol w:w="987"/>
      </w:tblGrid>
      <w:tr>
        <w:tblPrEx/>
        <w:trPr>
          <w:trHeight w:val="243"/>
        </w:trPr>
        <w:tc>
          <w:tcPr>
            <w:gridSpan w:val="11"/>
            <w:tcW w:w="15822" w:type="dxa"/>
            <w:textDirection w:val="lrTb"/>
            <w:noWrap w:val="false"/>
          </w:tcPr>
          <w:p>
            <w:pPr>
              <w:jc w:val="center"/>
            </w:pPr>
            <w:r>
              <w:t xml:space="preserve">ФИНАНСОВОЕ УПРАВЛЕНИЕ</w:t>
            </w:r>
            <w:r/>
          </w:p>
        </w:tc>
      </w:tr>
      <w:tr>
        <w:tblPrEx/>
        <w:trPr>
          <w:trHeight w:val="696"/>
        </w:trPr>
        <w:tc>
          <w:tcPr>
            <w:tcW w:w="2061" w:type="dxa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финансового управления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846" w:type="dxa"/>
            <w:textDirection w:val="lrTb"/>
            <w:noWrap w:val="false"/>
          </w:tcPr>
          <w:p>
            <w:r>
              <w:t xml:space="preserve">Экономика, бухгалтерский учет</w:t>
            </w:r>
            <w:r/>
          </w:p>
        </w:tc>
        <w:tc>
          <w:tcPr>
            <w:tcW w:w="423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89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63 210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pStyle w:val="89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r>
              <w:t xml:space="preserve">Высшее образование.</w:t>
            </w:r>
            <w:r/>
          </w:p>
          <w:p>
            <w:r/>
            <w:r/>
          </w:p>
          <w:p>
            <w:r>
              <w:t xml:space="preserve">Свод и составление отчетности, анализ данных, знания </w:t>
            </w:r>
            <w:r>
              <w:rPr>
                <w:lang w:val="en-US"/>
              </w:rPr>
              <w:t xml:space="preserve">Excel</w:t>
            </w:r>
            <w:r>
              <w:t xml:space="preserve"> и </w:t>
            </w:r>
            <w:r>
              <w:rPr>
                <w:lang w:val="en-US"/>
              </w:rPr>
              <w:t xml:space="preserve">Word</w:t>
            </w:r>
            <w:r>
              <w:t xml:space="preserve">.</w:t>
            </w:r>
            <w:r/>
          </w:p>
          <w:p>
            <w:r/>
            <w:r/>
          </w:p>
        </w:tc>
        <w:tc>
          <w:tcPr>
            <w:tcW w:w="2125" w:type="dxa"/>
            <w:textDirection w:val="lrTb"/>
            <w:noWrap w:val="false"/>
          </w:tcPr>
          <w:p>
            <w:pPr>
              <w:ind w:right="-105"/>
            </w:pPr>
            <w:r>
              <w:t xml:space="preserve">Стрессоустойчивость, ответственность,</w:t>
            </w:r>
            <w:r/>
          </w:p>
          <w:p>
            <w:pPr>
              <w:ind w:right="-105"/>
            </w:pPr>
            <w:r>
              <w:t xml:space="preserve">внимательность к деталям,</w:t>
            </w:r>
            <w:r/>
          </w:p>
          <w:p>
            <w:r>
              <w:t xml:space="preserve">самостоятельность;</w:t>
            </w:r>
            <w:r/>
          </w:p>
          <w:p>
            <w:r>
              <w:t xml:space="preserve">неконфликтность</w:t>
            </w:r>
            <w:r>
              <w:t xml:space="preserve">; </w:t>
            </w:r>
            <w:r/>
          </w:p>
          <w:p>
            <w:r>
              <w:t xml:space="preserve">умение работать в команде</w:t>
            </w:r>
            <w:r/>
          </w:p>
        </w:tc>
        <w:tc>
          <w:tcPr>
            <w:tcW w:w="859" w:type="dxa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696"/>
        </w:trPr>
        <w:tc>
          <w:tcPr>
            <w:tcW w:w="2061" w:type="dxa"/>
            <w:vMerge w:val="restart"/>
            <w:textDirection w:val="lrTb"/>
            <w:noWrap w:val="false"/>
          </w:tcPr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Главный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финансового управления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W w:w="1846" w:type="dxa"/>
            <w:vMerge w:val="restart"/>
            <w:textDirection w:val="lrTb"/>
            <w:noWrap w:val="false"/>
          </w:tcPr>
          <w:p>
            <w:r>
              <w:t xml:space="preserve">Информатика и вычислительная техника, </w:t>
            </w:r>
            <w:r>
              <w:t xml:space="preserve">информа-ционные</w:t>
            </w:r>
            <w:r>
              <w:t xml:space="preserve"> системы и технологии, Программная инженерия.</w:t>
            </w:r>
            <w:r/>
          </w:p>
          <w:p>
            <w:r>
              <w:t xml:space="preserve">Инженер-программист, инженер-системный программист,</w:t>
            </w:r>
            <w:r/>
          </w:p>
          <w:p>
            <w:r>
              <w:t xml:space="preserve">программист</w:t>
            </w:r>
            <w:r/>
          </w:p>
        </w:tc>
        <w:tc>
          <w:tcPr>
            <w:tcW w:w="42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420" w:type="dxa"/>
            <w:vMerge w:val="restart"/>
            <w:textDirection w:val="lrTb"/>
            <w:noWrap w:val="false"/>
          </w:tcPr>
          <w:p>
            <w:pPr>
              <w:pStyle w:val="89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Постоянная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61 399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1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Нормальная продолжительность рабочего времени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713" w:type="dxa"/>
            <w:vMerge w:val="restart"/>
            <w:textDirection w:val="lrTb"/>
            <w:noWrap w:val="false"/>
          </w:tcPr>
          <w:p>
            <w:pPr>
              <w:pStyle w:val="89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18-00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9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r>
              <w:t xml:space="preserve">Высшее образование.</w:t>
            </w:r>
            <w:r/>
          </w:p>
          <w:p>
            <w:r>
              <w:t xml:space="preserve">Без предъявления требований к стажу.</w:t>
            </w:r>
            <w:r/>
          </w:p>
          <w:p>
            <w:r/>
            <w:r/>
          </w:p>
          <w:p>
            <w:r>
              <w:t xml:space="preserve">Размещение публикаций о деятельности управления в </w:t>
            </w:r>
            <w:r>
              <w:t xml:space="preserve">соц.сетях</w:t>
            </w:r>
            <w:r>
              <w:t xml:space="preserve">, подготовка слайдов к презентациям,</w:t>
            </w:r>
            <w:r/>
          </w:p>
          <w:p>
            <w:r>
              <w:t xml:space="preserve">выполнение служебных заданий, поручений и указаний, входящих в сферу деятельности специал</w:t>
            </w:r>
            <w:r>
              <w:t xml:space="preserve">иста отдела информационных систем </w:t>
            </w:r>
            <w:r/>
          </w:p>
        </w:tc>
        <w:tc>
          <w:tcPr>
            <w:tcW w:w="2125" w:type="dxa"/>
            <w:vMerge w:val="restart"/>
            <w:textDirection w:val="lrTb"/>
            <w:noWrap w:val="false"/>
          </w:tcPr>
          <w:p>
            <w:r>
              <w:t xml:space="preserve">Ответственность, внимательность к деталям, </w:t>
            </w:r>
            <w:r>
              <w:t xml:space="preserve">неконфликтность</w:t>
            </w:r>
            <w:r>
              <w:t xml:space="preserve">, умение работать в команде, коммуникабельность</w:t>
            </w:r>
            <w:r/>
          </w:p>
        </w:tc>
        <w:tc>
          <w:tcPr>
            <w:tcW w:w="8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sz w:val="20"/>
              </w:rPr>
            </w:r>
            <w:r>
              <w:rPr>
                <w:rFonts w:ascii="Times New Roman" w:hAnsi="Times New Roman" w:cs="Times New Roman"/>
                <w:b/>
                <w:sz w:val="20"/>
              </w:rPr>
            </w:r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321"/>
        </w:trPr>
        <w:tc>
          <w:tcPr>
            <w:gridSpan w:val="11"/>
            <w:tcBorders>
              <w:top w:val="single" w:color="000000" w:sz="4" w:space="0"/>
              <w:bottom w:val="single" w:color="000000" w:sz="4" w:space="0"/>
            </w:tcBorders>
            <w:tcW w:w="15822" w:type="dxa"/>
            <w:textDirection w:val="lrTb"/>
            <w:noWrap w:val="false"/>
          </w:tcPr>
          <w:p>
            <w:r>
              <w:t xml:space="preserve">Обращаться по телефону: 8 (42337) 4-23-82,</w:t>
            </w:r>
            <w:r/>
          </w:p>
          <w:p>
            <w:r>
              <w:t xml:space="preserve">резюме на эл. адреса: </w:t>
            </w:r>
            <w:hyperlink r:id="rId11" w:tooltip="mailto:isaeva_ia@artemokrug.ru" w:history="1">
              <w:r>
                <w:rPr>
                  <w:rStyle w:val="874"/>
                  <w:lang w:val="en-US"/>
                </w:rPr>
                <w:t xml:space="preserve">isaeva</w:t>
              </w:r>
              <w:r>
                <w:rPr>
                  <w:rStyle w:val="874"/>
                </w:rPr>
                <w:t xml:space="preserve">_</w:t>
              </w:r>
              <w:r>
                <w:rPr>
                  <w:rStyle w:val="874"/>
                  <w:lang w:val="en-US"/>
                </w:rPr>
                <w:t xml:space="preserve">ia</w:t>
              </w:r>
              <w:r>
                <w:rPr>
                  <w:rStyle w:val="874"/>
                </w:rPr>
                <w:t xml:space="preserve">@</w:t>
              </w:r>
              <w:r>
                <w:rPr>
                  <w:rStyle w:val="874"/>
                  <w:lang w:val="en-US"/>
                </w:rPr>
                <w:t xml:space="preserve">artemokrug</w:t>
              </w:r>
              <w:r>
                <w:rPr>
                  <w:rStyle w:val="874"/>
                </w:rPr>
                <w:t xml:space="preserve">.</w:t>
              </w:r>
              <w:r>
                <w:rPr>
                  <w:rStyle w:val="874"/>
                  <w:lang w:val="en-US"/>
                </w:rPr>
                <w:t xml:space="preserve">ru</w:t>
              </w:r>
            </w:hyperlink>
            <w:r>
              <w:t xml:space="preserve">, </w:t>
            </w:r>
            <w:hyperlink r:id="rId12" w:tooltip="mailto:komarova_tn@artemokrug.ru" w:history="1">
              <w:r>
                <w:rPr>
                  <w:rStyle w:val="874"/>
                  <w:lang w:val="en-US"/>
                </w:rPr>
                <w:t xml:space="preserve">komarova</w:t>
              </w:r>
              <w:r>
                <w:rPr>
                  <w:rStyle w:val="874"/>
                </w:rPr>
                <w:t xml:space="preserve">_</w:t>
              </w:r>
              <w:r>
                <w:rPr>
                  <w:rStyle w:val="874"/>
                  <w:lang w:val="en-US"/>
                </w:rPr>
                <w:t xml:space="preserve">tn</w:t>
              </w:r>
              <w:r>
                <w:rPr>
                  <w:rStyle w:val="874"/>
                </w:rPr>
                <w:t xml:space="preserve">@</w:t>
              </w:r>
              <w:r>
                <w:rPr>
                  <w:rStyle w:val="874"/>
                  <w:lang w:val="en-US"/>
                </w:rPr>
                <w:t xml:space="preserve">artemokrug</w:t>
              </w:r>
              <w:r>
                <w:rPr>
                  <w:rStyle w:val="874"/>
                </w:rPr>
                <w:t xml:space="preserve">.</w:t>
              </w:r>
              <w:r>
                <w:rPr>
                  <w:rStyle w:val="874"/>
                  <w:lang w:val="en-US"/>
                </w:rPr>
                <w:t xml:space="preserve">ru</w:t>
              </w:r>
            </w:hyperlink>
            <w:r>
              <w:t xml:space="preserve">, </w:t>
            </w:r>
            <w:r>
              <w:rPr>
                <w:lang w:val="en-US"/>
              </w:rPr>
              <w:t xml:space="preserve">nachinova</w:t>
            </w:r>
            <w:r>
              <w:t xml:space="preserve">_</w:t>
            </w:r>
            <w:r>
              <w:rPr>
                <w:lang w:val="en-US"/>
              </w:rPr>
              <w:t xml:space="preserve">pn</w:t>
            </w:r>
            <w:r>
              <w:t xml:space="preserve">@</w:t>
            </w:r>
            <w:r>
              <w:rPr>
                <w:lang w:val="en-US"/>
              </w:rPr>
              <w:t xml:space="preserve">artemokrug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42" w:right="993" w:bottom="0" w:left="28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separate"/>
    </w:r>
    <w:r>
      <w:rPr>
        <w:rStyle w:val="896"/>
      </w:rPr>
      <w:t xml:space="preserve">2</w: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9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lang w:eastAsia="ru-RU"/>
    </w:rPr>
  </w:style>
  <w:style w:type="paragraph" w:styleId="695">
    <w:name w:val="Heading 1"/>
    <w:basedOn w:val="694"/>
    <w:next w:val="694"/>
    <w:link w:val="723"/>
    <w:qFormat/>
    <w:pPr>
      <w:keepNext/>
      <w:outlineLvl w:val="0"/>
    </w:pPr>
    <w:rPr>
      <w:sz w:val="24"/>
      <w:lang w:val="en-US"/>
    </w:rPr>
  </w:style>
  <w:style w:type="paragraph" w:styleId="696">
    <w:name w:val="Heading 2"/>
    <w:basedOn w:val="694"/>
    <w:next w:val="694"/>
    <w:link w:val="724"/>
    <w:qFormat/>
    <w:pPr>
      <w:jc w:val="center"/>
      <w:keepNext/>
      <w:spacing w:line="360" w:lineRule="auto"/>
      <w:outlineLvl w:val="1"/>
    </w:pPr>
    <w:rPr>
      <w:b/>
      <w:spacing w:val="70"/>
      <w:sz w:val="24"/>
    </w:rPr>
  </w:style>
  <w:style w:type="paragraph" w:styleId="697">
    <w:name w:val="Heading 3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9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Title Char"/>
    <w:basedOn w:val="704"/>
    <w:uiPriority w:val="10"/>
    <w:rPr>
      <w:sz w:val="48"/>
      <w:szCs w:val="48"/>
    </w:rPr>
  </w:style>
  <w:style w:type="character" w:styleId="717" w:customStyle="1">
    <w:name w:val="Subtitle Char"/>
    <w:basedOn w:val="704"/>
    <w:uiPriority w:val="11"/>
    <w:rPr>
      <w:sz w:val="24"/>
      <w:szCs w:val="24"/>
    </w:rPr>
  </w:style>
  <w:style w:type="character" w:styleId="718" w:customStyle="1">
    <w:name w:val="Quote Char"/>
    <w:uiPriority w:val="29"/>
    <w:rPr>
      <w:i/>
    </w:rPr>
  </w:style>
  <w:style w:type="character" w:styleId="719" w:customStyle="1">
    <w:name w:val="Intense Quote Char"/>
    <w:uiPriority w:val="30"/>
    <w:rPr>
      <w:i/>
    </w:rPr>
  </w:style>
  <w:style w:type="character" w:styleId="720" w:customStyle="1">
    <w:name w:val="Header Char"/>
    <w:basedOn w:val="704"/>
    <w:uiPriority w:val="99"/>
  </w:style>
  <w:style w:type="character" w:styleId="721" w:customStyle="1">
    <w:name w:val="Footnote Text Char"/>
    <w:uiPriority w:val="99"/>
    <w:rPr>
      <w:sz w:val="18"/>
    </w:rPr>
  </w:style>
  <w:style w:type="character" w:styleId="722" w:customStyle="1">
    <w:name w:val="Endnote Text Char"/>
    <w:uiPriority w:val="99"/>
    <w:rPr>
      <w:sz w:val="20"/>
    </w:rPr>
  </w:style>
  <w:style w:type="character" w:styleId="723" w:customStyle="1">
    <w:name w:val="Заголовок 1 Знак"/>
    <w:link w:val="695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Заголовок 2 Знак"/>
    <w:link w:val="696"/>
    <w:uiPriority w:val="9"/>
    <w:rPr>
      <w:rFonts w:ascii="Arial" w:hAnsi="Arial" w:eastAsia="Arial" w:cs="Arial"/>
      <w:sz w:val="34"/>
    </w:rPr>
  </w:style>
  <w:style w:type="character" w:styleId="725" w:customStyle="1">
    <w:name w:val="Заголовок 3 Знак"/>
    <w:link w:val="697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Заголовок 4 Знак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Заголовок 5 Знак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Заголовок 6 Знак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Заголовок 7 Знак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Заголовок 9 Знак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694"/>
    <w:uiPriority w:val="34"/>
    <w:qFormat/>
    <w:pPr>
      <w:contextualSpacing/>
      <w:ind w:left="720"/>
    </w:pPr>
  </w:style>
  <w:style w:type="paragraph" w:styleId="733">
    <w:name w:val="No Spacing"/>
    <w:uiPriority w:val="1"/>
    <w:qFormat/>
  </w:style>
  <w:style w:type="paragraph" w:styleId="734">
    <w:name w:val="Title"/>
    <w:basedOn w:val="694"/>
    <w:next w:val="694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694"/>
    <w:next w:val="694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694"/>
    <w:next w:val="694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694"/>
    <w:next w:val="694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694"/>
    <w:link w:val="743"/>
    <w:pPr>
      <w:tabs>
        <w:tab w:val="center" w:pos="4677" w:leader="none"/>
        <w:tab w:val="right" w:pos="9355" w:leader="none"/>
      </w:tabs>
    </w:pPr>
  </w:style>
  <w:style w:type="character" w:styleId="743" w:customStyle="1">
    <w:name w:val="Верхний колонтитул Знак"/>
    <w:link w:val="742"/>
    <w:uiPriority w:val="99"/>
  </w:style>
  <w:style w:type="paragraph" w:styleId="744">
    <w:name w:val="Footer"/>
    <w:basedOn w:val="694"/>
    <w:link w:val="898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745" w:customStyle="1">
    <w:name w:val="Footer Char"/>
    <w:uiPriority w:val="99"/>
  </w:style>
  <w:style w:type="paragraph" w:styleId="7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 w:customStyle="1">
    <w:name w:val="Caption Char"/>
    <w:uiPriority w:val="99"/>
  </w:style>
  <w:style w:type="table" w:styleId="748">
    <w:name w:val="Table Grid"/>
    <w:basedOn w:val="705"/>
    <w:tblPr/>
  </w:style>
  <w:style w:type="table" w:styleId="74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rPr>
      <w:color w:val="auto"/>
      <w:u w:val="none"/>
      <w:vertAlign w:val="baseline"/>
    </w:rPr>
  </w:style>
  <w:style w:type="paragraph" w:styleId="875">
    <w:name w:val="footnote text"/>
    <w:basedOn w:val="694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694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694"/>
    <w:next w:val="694"/>
    <w:uiPriority w:val="39"/>
    <w:unhideWhenUsed/>
    <w:pPr>
      <w:spacing w:after="57"/>
    </w:pPr>
  </w:style>
  <w:style w:type="paragraph" w:styleId="88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83">
    <w:name w:val="toc 3"/>
    <w:basedOn w:val="694"/>
    <w:next w:val="694"/>
    <w:semiHidden/>
    <w:pPr>
      <w:ind w:left="440"/>
      <w:tabs>
        <w:tab w:val="right" w:pos="9071" w:leader="dot"/>
      </w:tabs>
    </w:pPr>
    <w:rPr>
      <w:rFonts w:ascii="Arial" w:hAnsi="Arial"/>
      <w:i/>
    </w:rPr>
  </w:style>
  <w:style w:type="paragraph" w:styleId="88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94"/>
    <w:next w:val="694"/>
    <w:uiPriority w:val="99"/>
    <w:unhideWhenUsed/>
  </w:style>
  <w:style w:type="character" w:styleId="892">
    <w:name w:val="FollowedHyperlink"/>
    <w:rPr>
      <w:color w:val="8b008b"/>
      <w:u w:val="single"/>
    </w:rPr>
  </w:style>
  <w:style w:type="paragraph" w:styleId="893">
    <w:name w:val="Balloon Text"/>
    <w:basedOn w:val="694"/>
    <w:semiHidden/>
    <w:rPr>
      <w:rFonts w:ascii="Tahoma" w:hAnsi="Tahoma" w:cs="Tahoma"/>
      <w:sz w:val="16"/>
      <w:szCs w:val="16"/>
    </w:rPr>
  </w:style>
  <w:style w:type="paragraph" w:styleId="894">
    <w:name w:val="Body Text Indent"/>
    <w:basedOn w:val="694"/>
    <w:pPr>
      <w:ind w:firstLine="709"/>
      <w:jc w:val="both"/>
      <w:spacing w:line="360" w:lineRule="auto"/>
    </w:pPr>
    <w:rPr>
      <w:sz w:val="24"/>
    </w:rPr>
  </w:style>
  <w:style w:type="paragraph" w:styleId="895">
    <w:name w:val="Body Text Indent 2"/>
    <w:basedOn w:val="694"/>
    <w:pPr>
      <w:ind w:firstLine="426"/>
      <w:spacing w:line="360" w:lineRule="auto"/>
    </w:pPr>
    <w:rPr>
      <w:sz w:val="24"/>
    </w:rPr>
  </w:style>
  <w:style w:type="character" w:styleId="896">
    <w:name w:val="page number"/>
    <w:basedOn w:val="704"/>
  </w:style>
  <w:style w:type="paragraph" w:styleId="897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character" w:styleId="898" w:customStyle="1">
    <w:name w:val="Нижний колонтитул Знак"/>
    <w:link w:val="744"/>
    <w:uiPriority w:val="99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isaeva_ia@artemokrug.ru" TargetMode="External"/><Relationship Id="rId12" Type="http://schemas.openxmlformats.org/officeDocument/2006/relationships/hyperlink" Target="mailto:komarova_tn@artemokru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ТСКОМ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Л.В.</dc:creator>
  <cp:revision>33</cp:revision>
  <dcterms:created xsi:type="dcterms:W3CDTF">2024-08-23T04:25:00Z</dcterms:created>
  <dcterms:modified xsi:type="dcterms:W3CDTF">2025-02-27T02:31:38Z</dcterms:modified>
  <cp:version>983040</cp:version>
</cp:coreProperties>
</file>