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6"/>
        <w:jc w:val="both"/>
        <w:widowControl w:val="off"/>
      </w:pPr>
      <w:r/>
      <w:r/>
    </w:p>
    <w:p>
      <w:pPr>
        <w:pStyle w:val="620"/>
        <w:jc w:val="center"/>
        <w:rPr>
          <w:sz w:val="20"/>
          <w:szCs w:val="20"/>
        </w:rPr>
      </w:pPr>
      <w:r/>
      <w:bookmarkStart w:id="0" w:name="Par72"/>
      <w:r/>
      <w:bookmarkEnd w:id="0"/>
      <w:r>
        <w:rPr>
          <w:sz w:val="20"/>
          <w:szCs w:val="20"/>
        </w:rPr>
        <w:t xml:space="preserve">СВЕДЕНИЯ</w:t>
      </w:r>
      <w:r>
        <w:rPr>
          <w:sz w:val="20"/>
          <w:szCs w:val="20"/>
        </w:rPr>
      </w:r>
    </w:p>
    <w:p>
      <w:pPr>
        <w:pStyle w:val="62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О ДОХОДАХ, РАСХОДАХ, ОБ ИМУЩЕСТВЕ  И ОБЯЗАТЕЛЬСТВАХ ИМУЩЕСТВЕННОГО</w:t>
      </w:r>
      <w:r>
        <w:rPr>
          <w:sz w:val="20"/>
          <w:szCs w:val="20"/>
        </w:rPr>
      </w:r>
    </w:p>
    <w:p>
      <w:pPr>
        <w:pStyle w:val="62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ХАРАКТЕРА, ПРЕДСТАВЛЕННЫХ ЛИЦАМИ, ЗАМЕЩАЮЩИМИ ДОЛЖНОСТИ</w:t>
      </w:r>
      <w:r>
        <w:rPr>
          <w:sz w:val="20"/>
          <w:szCs w:val="20"/>
        </w:rPr>
      </w:r>
    </w:p>
    <w:p>
      <w:pPr>
        <w:pStyle w:val="62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МУНИЦИПАЛЬНОЙ СЛУЖБЫ В АДМИНИСТРАЦИИ АРТЕМОВСКОГО</w:t>
      </w:r>
      <w:r>
        <w:rPr>
          <w:sz w:val="20"/>
          <w:szCs w:val="20"/>
        </w:rPr>
      </w:r>
    </w:p>
    <w:p>
      <w:pPr>
        <w:pStyle w:val="62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ГОРОДСКОГО ОКРУГА ЗА ОТЧЕТНЫЙ ФИНАНСОВЫЙ ГОД </w:t>
      </w:r>
      <w:r>
        <w:rPr>
          <w:sz w:val="20"/>
          <w:szCs w:val="20"/>
        </w:rPr>
      </w:r>
    </w:p>
    <w:p>
      <w:pPr>
        <w:pStyle w:val="62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с  1 ЯНВАРЯ </w:t>
      </w:r>
      <w:r>
        <w:rPr>
          <w:sz w:val="20"/>
          <w:szCs w:val="20"/>
        </w:rPr>
        <w:t xml:space="preserve">по  31 ДЕКАБРЯ </w:t>
      </w:r>
      <w:r>
        <w:rPr>
          <w:sz w:val="20"/>
          <w:szCs w:val="20"/>
        </w:rPr>
        <w:t xml:space="preserve">202</w:t>
      </w:r>
      <w:r>
        <w:rPr>
          <w:sz w:val="20"/>
          <w:szCs w:val="20"/>
        </w:rPr>
        <w:t xml:space="preserve">3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года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616"/>
        <w:ind w:firstLine="540"/>
        <w:jc w:val="both"/>
        <w:widowControl w:val="off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tbl>
      <w:tblPr>
        <w:tblW w:w="15480" w:type="dxa"/>
        <w:tblCellSpacing w:w="5" w:type="dxa"/>
        <w:tblInd w:w="-285" w:type="dxa"/>
        <w:tblLayout w:type="fixed"/>
        <w:tblCellMar>
          <w:left w:w="75" w:type="dxa"/>
          <w:top w:w="75" w:type="dxa"/>
          <w:right w:w="75" w:type="dxa"/>
          <w:bottom w:w="75" w:type="dxa"/>
        </w:tblCellMar>
        <w:tblLook w:val="04A0" w:firstRow="1" w:lastRow="0" w:firstColumn="1" w:lastColumn="0" w:noHBand="0" w:noVBand="1"/>
      </w:tblPr>
      <w:tblGrid>
        <w:gridCol w:w="1800"/>
        <w:gridCol w:w="1800"/>
        <w:gridCol w:w="1560"/>
        <w:gridCol w:w="1400"/>
        <w:gridCol w:w="900"/>
        <w:gridCol w:w="1400"/>
        <w:gridCol w:w="1400"/>
        <w:gridCol w:w="1000"/>
        <w:gridCol w:w="1400"/>
        <w:gridCol w:w="1380"/>
        <w:gridCol w:w="1440"/>
      </w:tblGrid>
      <w:tr>
        <w:trPr>
          <w:tblCellSpacing w:w="5" w:type="dxa"/>
          <w:trHeight w:val="9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0" w:type="dxa"/>
            <w:vAlign w:val="top"/>
            <w:vMerge w:val="restart"/>
            <w:textDirection w:val="lrTb"/>
            <w:noWrap w:val="false"/>
          </w:tcPr>
          <w:p>
            <w:pPr>
              <w:pStyle w:val="62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 xml:space="preserve">    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Фамилия, имя,   </w:t>
              <w:br w:type="textWrapping" w:clear="all"/>
              <w:t xml:space="preserve">   </w:t>
            </w:r>
            <w:r>
              <w:rPr>
                <w:sz w:val="16"/>
                <w:szCs w:val="16"/>
              </w:rPr>
              <w:t xml:space="preserve">       </w:t>
            </w:r>
            <w:r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отчество     </w:t>
              <w:br w:type="textWrapping" w:clear="all"/>
              <w:t xml:space="preserve">   </w:t>
            </w:r>
            <w:r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</w:rPr>
              <w:t xml:space="preserve">муниципального </w:t>
            </w:r>
            <w:r>
              <w:rPr>
                <w:sz w:val="16"/>
                <w:szCs w:val="16"/>
              </w:rPr>
              <w:t xml:space="preserve">   </w:t>
              <w:br w:type="textWrapping" w:clear="all"/>
              <w:t xml:space="preserve">  </w:t>
            </w:r>
            <w:r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 xml:space="preserve">служащего </w:t>
            </w: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HYPERLINK \l Par99  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color w:val="0000ff"/>
                <w:sz w:val="16"/>
                <w:szCs w:val="16"/>
              </w:rPr>
              <w:t xml:space="preserve">&lt;1&gt;</w:t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pStyle w:val="62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pStyle w:val="62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  <w:p>
            <w:pPr>
              <w:pStyle w:val="62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0" w:type="dxa"/>
            <w:vAlign w:val="top"/>
            <w:vMerge w:val="restart"/>
            <w:textDirection w:val="lrTb"/>
            <w:noWrap w:val="false"/>
          </w:tcPr>
          <w:p>
            <w:pPr>
              <w:pStyle w:val="62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Должность</w:t>
              <w:br w:type="textWrapping" w:clear="all"/>
            </w: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HYPERLINK \l Par100  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color w:val="0000ff"/>
                <w:sz w:val="16"/>
                <w:szCs w:val="16"/>
              </w:rPr>
              <w:t xml:space="preserve">&lt;2&gt;</w:t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vMerge w:val="restart"/>
            <w:textDirection w:val="lrTb"/>
            <w:noWrap w:val="false"/>
          </w:tcPr>
          <w:p>
            <w:pPr>
              <w:pStyle w:val="62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Деклариров</w:t>
            </w:r>
            <w:r>
              <w:rPr>
                <w:sz w:val="16"/>
                <w:szCs w:val="16"/>
              </w:rPr>
              <w:t xml:space="preserve">анный</w:t>
              <w:br w:type="textWrapping" w:clear="all"/>
              <w:t xml:space="preserve"> годовой доход </w:t>
              <w:br w:type="textWrapping" w:clear="all"/>
              <w:t xml:space="preserve">  за 202</w:t>
            </w:r>
            <w:r>
              <w:rPr>
                <w:sz w:val="16"/>
                <w:szCs w:val="16"/>
              </w:rPr>
              <w:t xml:space="preserve">3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год  </w:t>
              <w:br w:type="textWrapping" w:clear="all"/>
              <w:t xml:space="preserve">  (</w:t>
            </w:r>
            <w:r>
              <w:rPr>
                <w:sz w:val="16"/>
                <w:szCs w:val="16"/>
              </w:rPr>
              <w:t xml:space="preserve">руб.)</w:t>
            </w:r>
            <w:r>
              <w:rPr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00" w:type="dxa"/>
            <w:vAlign w:val="top"/>
            <w:textDirection w:val="lrTb"/>
            <w:noWrap w:val="false"/>
          </w:tcPr>
          <w:p>
            <w:pPr>
              <w:pStyle w:val="62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Перечень объектов недвижимости, </w:t>
              <w:br w:type="textWrapping" w:clear="all"/>
              <w:t xml:space="preserve">     принадлежащих на праве      </w:t>
              <w:br w:type="textWrapping" w:clear="all"/>
              <w:t xml:space="preserve">          собственности</w:t>
            </w:r>
            <w:r>
              <w:rPr>
                <w:sz w:val="16"/>
                <w:szCs w:val="16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00" w:type="dxa"/>
            <w:vAlign w:val="top"/>
            <w:textDirection w:val="lrTb"/>
            <w:noWrap w:val="false"/>
          </w:tcPr>
          <w:p>
            <w:pPr>
              <w:pStyle w:val="62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Перечень объектов недвижимости,  </w:t>
              <w:br w:type="textWrapping" w:clear="all"/>
              <w:t xml:space="preserve">    находящихся в пользовании</w:t>
            </w:r>
            <w:r>
              <w:rPr>
                <w:sz w:val="16"/>
                <w:szCs w:val="16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0" w:type="dxa"/>
            <w:vAlign w:val="top"/>
            <w:textDirection w:val="lrTb"/>
            <w:noWrap w:val="false"/>
          </w:tcPr>
          <w:p>
            <w:pPr>
              <w:pStyle w:val="62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Транспортные </w:t>
              <w:br w:type="textWrapping" w:clear="all"/>
              <w:t xml:space="preserve">  средства,  </w:t>
              <w:br w:type="textWrapping" w:clear="all"/>
              <w:t xml:space="preserve">принадлежащие</w:t>
              <w:br w:type="textWrapping" w:clear="all"/>
              <w:t xml:space="preserve">  на праве   </w:t>
              <w:br w:type="textWrapping" w:clear="all"/>
              <w:t xml:space="preserve">собственности</w:t>
            </w:r>
            <w:r>
              <w:rPr>
                <w:sz w:val="16"/>
                <w:szCs w:val="16"/>
              </w:rPr>
            </w:r>
          </w:p>
        </w:tc>
      </w:tr>
      <w:tr>
        <w:trPr>
          <w:tblCellSpacing w:w="5" w:type="dxa"/>
          <w:trHeight w:val="48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800" w:type="dxa"/>
            <w:vAlign w:val="top"/>
            <w:vMerge w:val="continue"/>
            <w:textDirection w:val="lrTb"/>
            <w:noWrap w:val="false"/>
          </w:tcPr>
          <w:p>
            <w:pPr>
              <w:pStyle w:val="6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800" w:type="dxa"/>
            <w:vAlign w:val="top"/>
            <w:vMerge w:val="continue"/>
            <w:textDirection w:val="lrTb"/>
            <w:noWrap w:val="false"/>
          </w:tcPr>
          <w:p>
            <w:pPr>
              <w:pStyle w:val="6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6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top"/>
            <w:textDirection w:val="lrTb"/>
            <w:noWrap w:val="false"/>
          </w:tcPr>
          <w:p>
            <w:pPr>
              <w:pStyle w:val="62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вид объектов</w:t>
              <w:br w:type="textWrapping" w:clear="all"/>
              <w:t xml:space="preserve">недвижимости</w:t>
              <w:br w:type="textWrapping" w:clear="all"/>
            </w: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HYPERLINK \l Par101  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color w:val="0000ff"/>
                <w:sz w:val="16"/>
                <w:szCs w:val="16"/>
              </w:rPr>
              <w:t xml:space="preserve">&lt;3&gt;</w:t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62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площадь</w:t>
              <w:br w:type="textWrapping" w:clear="all"/>
              <w:t xml:space="preserve">(кв. м)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top"/>
            <w:textDirection w:val="lrTb"/>
            <w:noWrap w:val="false"/>
          </w:tcPr>
          <w:p>
            <w:pPr>
              <w:pStyle w:val="62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страна   </w:t>
              <w:br w:type="textWrapping" w:clear="all"/>
              <w:t xml:space="preserve">расположения</w:t>
              <w:br w:type="textWrapping" w:clear="all"/>
            </w: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HYPERLINK \l Par102  </w:instrText>
            </w:r>
            <w:r>
              <w:rPr>
                <w:sz w:val="16"/>
                <w:szCs w:val="16"/>
              </w:rPr>
              <w:fldChar w:fldCharType="separate"/>
            </w:r>
            <w:r>
              <w:rPr>
                <w:color w:val="0000ff"/>
                <w:sz w:val="16"/>
                <w:szCs w:val="16"/>
              </w:rPr>
              <w:t xml:space="preserve">&lt;4&gt;</w:t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top"/>
            <w:textDirection w:val="lrTb"/>
            <w:noWrap w:val="false"/>
          </w:tcPr>
          <w:p>
            <w:pPr>
              <w:pStyle w:val="62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вид     </w:t>
              <w:br w:type="textWrapping" w:clear="all"/>
              <w:t xml:space="preserve">объектов    </w:t>
              <w:br w:type="textWrapping" w:clear="all"/>
              <w:t xml:space="preserve">недвижимости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0" w:type="dxa"/>
            <w:vAlign w:val="top"/>
            <w:textDirection w:val="lrTb"/>
            <w:noWrap w:val="false"/>
          </w:tcPr>
          <w:p>
            <w:pPr>
              <w:pStyle w:val="62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площадь </w:t>
              <w:br w:type="textWrapping" w:clear="all"/>
              <w:t xml:space="preserve">(кв. м)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top"/>
            <w:textDirection w:val="lrTb"/>
            <w:noWrap w:val="false"/>
          </w:tcPr>
          <w:p>
            <w:pPr>
              <w:pStyle w:val="62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страна   </w:t>
              <w:br w:type="textWrapping" w:clear="all"/>
              <w:t xml:space="preserve">расположения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62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вид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62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марка</w:t>
            </w:r>
            <w:r>
              <w:rPr>
                <w:sz w:val="16"/>
                <w:szCs w:val="16"/>
              </w:rPr>
            </w:r>
          </w:p>
        </w:tc>
      </w:tr>
      <w:tr>
        <w:trPr>
          <w:tblCellSpacing w:w="5" w:type="dxa"/>
          <w:trHeight w:val="48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6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Котляр</w:t>
            </w:r>
            <w:r>
              <w:rPr>
                <w:sz w:val="20"/>
                <w:szCs w:val="20"/>
              </w:rPr>
              <w:t xml:space="preserve"> Олеся Алексеевна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621"/>
              <w:ind w:right="-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н</w:t>
            </w:r>
            <w:r>
              <w:rPr>
                <w:sz w:val="20"/>
                <w:szCs w:val="20"/>
              </w:rPr>
              <w:t xml:space="preserve">ачальника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управления</w:t>
            </w:r>
            <w:r>
              <w:rPr>
                <w:sz w:val="20"/>
                <w:szCs w:val="20"/>
              </w:rPr>
              <w:t xml:space="preserve"> информационной политики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944 597,67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top"/>
            <w:textDirection w:val="lrTb"/>
            <w:noWrap w:val="false"/>
          </w:tcPr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9/20 квартиры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59,8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top"/>
            <w:textDirection w:val="lrTb"/>
            <w:noWrap w:val="false"/>
          </w:tcPr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top"/>
            <w:textDirection w:val="lrTb"/>
            <w:noWrap w:val="false"/>
          </w:tcPr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11/20</w:t>
            </w:r>
            <w:r>
              <w:rPr>
                <w:sz w:val="20"/>
                <w:szCs w:val="20"/>
              </w:rPr>
              <w:t xml:space="preserve"> квартиры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0" w:type="dxa"/>
            <w:vAlign w:val="top"/>
            <w:textDirection w:val="lrTb"/>
            <w:noWrap w:val="false"/>
          </w:tcPr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59,8</w:t>
            </w:r>
            <w:r>
              <w:rPr>
                <w:sz w:val="20"/>
                <w:szCs w:val="20"/>
              </w:rPr>
            </w:r>
          </w:p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top"/>
            <w:textDirection w:val="lrTb"/>
            <w:noWrap w:val="false"/>
          </w:tcPr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</w:t>
            </w:r>
            <w:r>
              <w:rPr>
                <w:sz w:val="20"/>
                <w:szCs w:val="20"/>
              </w:rPr>
            </w:r>
          </w:p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rPr>
          <w:tblCellSpacing w:w="5" w:type="dxa"/>
          <w:trHeight w:val="3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6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6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6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2 494 167,84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top"/>
            <w:textDirection w:val="lrTb"/>
            <w:noWrap w:val="false"/>
          </w:tcPr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t xml:space="preserve">9/20 квартиры</w:t>
            </w:r>
            <w:r/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59,8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top"/>
            <w:textDirection w:val="lrTb"/>
            <w:noWrap w:val="false"/>
          </w:tcPr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top"/>
            <w:textDirection w:val="lrTb"/>
            <w:noWrap w:val="false"/>
          </w:tcPr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t xml:space="preserve">11/20</w:t>
            </w:r>
            <w:r>
              <w:rPr>
                <w:sz w:val="20"/>
                <w:szCs w:val="20"/>
              </w:rPr>
              <w:t xml:space="preserve"> квартиры</w:t>
            </w:r>
            <w:r/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0" w:type="dxa"/>
            <w:vAlign w:val="top"/>
            <w:textDirection w:val="lrTb"/>
            <w:noWrap w:val="false"/>
          </w:tcPr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59,8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top"/>
            <w:textDirection w:val="lrTb"/>
            <w:noWrap w:val="false"/>
          </w:tcPr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</w:t>
            </w:r>
            <w:r>
              <w:rPr>
                <w:sz w:val="20"/>
                <w:szCs w:val="20"/>
              </w:rPr>
              <w:t xml:space="preserve">втомобили легковые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621"/>
              <w:jc w:val="center"/>
              <w:rPr>
                <w:sz w:val="20"/>
                <w:szCs w:val="20"/>
                <w:highlight w:val="none"/>
              </w:rPr>
            </w:pPr>
            <w:r>
              <w:rPr>
                <w:sz w:val="20"/>
                <w:szCs w:val="20"/>
              </w:rPr>
              <w:t xml:space="preserve">Субару Форестер, 2017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none"/>
              </w:rPr>
              <w:t xml:space="preserve">Тойота Приус, 2019</w:t>
            </w:r>
            <w:r>
              <w:rPr>
                <w:sz w:val="20"/>
                <w:szCs w:val="20"/>
                <w:highlight w:val="none"/>
              </w:rPr>
            </w:r>
          </w:p>
        </w:tc>
      </w:tr>
      <w:tr>
        <w:trPr>
          <w:tblCellSpacing w:w="5" w:type="dxa"/>
          <w:trHeight w:val="32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6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Дочь</w:t>
            </w:r>
            <w:r>
              <w:rPr>
                <w:sz w:val="20"/>
                <w:szCs w:val="20"/>
              </w:rPr>
            </w:r>
          </w:p>
          <w:p>
            <w:pPr>
              <w:pStyle w:val="6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0" w:type="dxa"/>
            <w:vAlign w:val="top"/>
            <w:textDirection w:val="lrTb"/>
            <w:noWrap w:val="false"/>
          </w:tcPr>
          <w:p>
            <w:pPr>
              <w:pStyle w:val="6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textDirection w:val="lrTb"/>
            <w:noWrap w:val="false"/>
          </w:tcPr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top"/>
            <w:textDirection w:val="lrTb"/>
            <w:noWrap w:val="false"/>
          </w:tcPr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t xml:space="preserve">1/20 квартиры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textDirection w:val="lrTb"/>
            <w:noWrap w:val="false"/>
          </w:tcPr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59,8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top"/>
            <w:textDirection w:val="lrTb"/>
            <w:noWrap w:val="false"/>
          </w:tcPr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top"/>
            <w:textDirection w:val="lrTb"/>
            <w:noWrap w:val="false"/>
          </w:tcPr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t xml:space="preserve">19/20 квартиры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0" w:type="dxa"/>
            <w:vAlign w:val="top"/>
            <w:textDirection w:val="lrTb"/>
            <w:noWrap w:val="false"/>
          </w:tcPr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59,8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top"/>
            <w:textDirection w:val="lrTb"/>
            <w:noWrap w:val="false"/>
          </w:tcPr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0" w:type="dxa"/>
            <w:vAlign w:val="top"/>
            <w:textDirection w:val="lrTb"/>
            <w:noWrap w:val="false"/>
          </w:tcPr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textDirection w:val="lrTb"/>
            <w:noWrap w:val="false"/>
          </w:tcPr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</w:t>
            </w:r>
            <w:r>
              <w:rPr>
                <w:sz w:val="20"/>
                <w:szCs w:val="20"/>
              </w:rPr>
            </w:r>
          </w:p>
        </w:tc>
      </w:tr>
      <w:tr>
        <w:trPr>
          <w:tblCellSpacing w:w="5" w:type="dxa"/>
          <w:trHeight w:val="32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0" w:type="dxa"/>
            <w:vAlign w:val="top"/>
            <w:vMerge w:val="restart"/>
            <w:textDirection w:val="lrTb"/>
            <w:noWrap w:val="false"/>
          </w:tcPr>
          <w:p>
            <w:pPr>
              <w:pStyle w:val="6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0" w:type="dxa"/>
            <w:vAlign w:val="top"/>
            <w:vMerge w:val="restart"/>
            <w:textDirection w:val="lrTb"/>
            <w:noWrap w:val="false"/>
          </w:tcPr>
          <w:p>
            <w:pPr>
              <w:pStyle w:val="6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vMerge w:val="restart"/>
            <w:textDirection w:val="lrTb"/>
            <w:noWrap w:val="false"/>
          </w:tcPr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</w:t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top"/>
            <w:vMerge w:val="restart"/>
            <w:textDirection w:val="lrTb"/>
            <w:noWrap w:val="false"/>
          </w:tcPr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t xml:space="preserve">1/20 квартиры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top"/>
            <w:vMerge w:val="restart"/>
            <w:textDirection w:val="lrTb"/>
            <w:noWrap w:val="false"/>
          </w:tcPr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59,8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top"/>
            <w:vMerge w:val="restart"/>
            <w:textDirection w:val="lrTb"/>
            <w:noWrap w:val="false"/>
          </w:tcPr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top"/>
            <w:vMerge w:val="restart"/>
            <w:textDirection w:val="lrTb"/>
            <w:noWrap w:val="false"/>
          </w:tcPr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t xml:space="preserve">19/20 квартиры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0" w:type="dxa"/>
            <w:vAlign w:val="top"/>
            <w:vMerge w:val="restart"/>
            <w:textDirection w:val="lrTb"/>
            <w:noWrap w:val="false"/>
          </w:tcPr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59,8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0" w:type="dxa"/>
            <w:vAlign w:val="top"/>
            <w:vMerge w:val="restart"/>
            <w:textDirection w:val="lrTb"/>
            <w:noWrap w:val="false"/>
          </w:tcPr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0" w:type="dxa"/>
            <w:vAlign w:val="top"/>
            <w:vMerge w:val="restart"/>
            <w:textDirection w:val="lrTb"/>
            <w:noWrap w:val="false"/>
          </w:tcPr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top"/>
            <w:vMerge w:val="restart"/>
            <w:textDirection w:val="lrTb"/>
            <w:noWrap w:val="false"/>
          </w:tcPr>
          <w:p>
            <w:pPr>
              <w:pStyle w:val="6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</w:tbl>
    <w:p>
      <w:pPr>
        <w:pStyle w:val="616"/>
        <w:ind w:firstLine="540"/>
        <w:jc w:val="both"/>
        <w:widowControl w:val="off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616"/>
        <w:ind w:firstLine="540"/>
        <w:jc w:val="both"/>
        <w:widowControl w:val="off"/>
      </w:pPr>
      <w:r>
        <w:t xml:space="preserve">--------------------------------</w:t>
      </w:r>
      <w:r/>
    </w:p>
    <w:p>
      <w:pPr>
        <w:pStyle w:val="616"/>
        <w:ind w:firstLine="540"/>
        <w:jc w:val="both"/>
        <w:widowControl w:val="off"/>
      </w:pPr>
      <w:r/>
      <w:bookmarkStart w:id="1" w:name="Par99"/>
      <w:r/>
      <w:bookmarkEnd w:id="1"/>
      <w:r>
        <w:t xml:space="preserve">&lt;1&gt; - Указываются только Ф.И.О. лица, замещающего должность муниципальной службы в </w:t>
      </w:r>
      <w:r>
        <w:t xml:space="preserve">администрации Артемовского </w:t>
      </w:r>
      <w:r>
        <w:t xml:space="preserve">городского округа, Ф.И.О. супруга(и) и несовершеннолетних детей не указываются.</w:t>
      </w:r>
      <w:r/>
    </w:p>
    <w:p>
      <w:pPr>
        <w:pStyle w:val="616"/>
        <w:ind w:firstLine="540"/>
        <w:jc w:val="both"/>
        <w:widowControl w:val="off"/>
      </w:pPr>
      <w:r/>
      <w:bookmarkStart w:id="2" w:name="Par100"/>
      <w:r/>
      <w:bookmarkEnd w:id="2"/>
      <w:r>
        <w:t xml:space="preserve">&lt;2&gt; - Указывается только должность лица, замещающего должность муниципальной службы в </w:t>
      </w:r>
      <w:r>
        <w:t xml:space="preserve">администрации Артемовского городского округа</w:t>
      </w:r>
      <w:r>
        <w:t xml:space="preserve">.</w:t>
      </w:r>
      <w:r/>
    </w:p>
    <w:p>
      <w:pPr>
        <w:pStyle w:val="616"/>
        <w:ind w:firstLine="540"/>
        <w:jc w:val="both"/>
        <w:widowControl w:val="off"/>
      </w:pPr>
      <w:r/>
      <w:bookmarkStart w:id="3" w:name="Par101"/>
      <w:r/>
      <w:bookmarkEnd w:id="3"/>
      <w:r>
        <w:t xml:space="preserve">&lt;3&gt; - Например, жилой дом, земельный участок, квартира и т.д.</w:t>
      </w:r>
      <w:r/>
    </w:p>
    <w:p>
      <w:pPr>
        <w:pStyle w:val="616"/>
        <w:ind w:firstLine="540"/>
        <w:jc w:val="both"/>
        <w:widowControl w:val="off"/>
      </w:pPr>
      <w:r>
        <w:t xml:space="preserve">&lt;4&gt; - Россия или иная страна (государство).</w:t>
      </w:r>
      <w:r/>
    </w:p>
    <w:p>
      <w:pPr>
        <w:pStyle w:val="616"/>
        <w:ind w:firstLine="540"/>
        <w:jc w:val="both"/>
        <w:widowControl w:val="off"/>
      </w:pPr>
      <w:r>
        <w:t xml:space="preserve">&lt;5&gt; - Указать, сын или дочь.</w:t>
      </w:r>
      <w:r/>
    </w:p>
    <w:p>
      <w:pPr>
        <w:pStyle w:val="616"/>
        <w:ind w:firstLine="540"/>
        <w:jc w:val="both"/>
        <w:widowControl w:val="off"/>
      </w:pPr>
      <w:r/>
      <w:r/>
    </w:p>
    <w:p>
      <w:pPr>
        <w:pStyle w:val="616"/>
        <w:ind w:firstLine="540"/>
        <w:jc w:val="both"/>
        <w:widowControl w:val="off"/>
      </w:pPr>
      <w:r/>
      <w:r/>
    </w:p>
    <w:p>
      <w:pPr>
        <w:pStyle w:val="616"/>
        <w:widowControl w:val="off"/>
        <w:rPr>
          <w:sz w:val="5"/>
          <w:szCs w:val="5"/>
        </w:rPr>
        <w:pBdr>
          <w:bottom w:val="single" w:color="000000" w:sz="6" w:space="0"/>
        </w:pBdr>
      </w:pPr>
      <w:r>
        <w:rPr>
          <w:sz w:val="5"/>
          <w:szCs w:val="5"/>
        </w:rPr>
      </w:r>
      <w:r>
        <w:rPr>
          <w:sz w:val="5"/>
          <w:szCs w:val="5"/>
        </w:rPr>
      </w:r>
    </w:p>
    <w:sectPr>
      <w:footnotePr/>
      <w:endnotePr/>
      <w:type w:val="nextPage"/>
      <w:pgSz w:w="16840" w:h="11907" w:orient="landscape"/>
      <w:pgMar w:top="539" w:right="1134" w:bottom="851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6"/>
    <w:next w:val="61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6"/>
    <w:next w:val="61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6"/>
    <w:next w:val="61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6"/>
    <w:next w:val="61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6"/>
    <w:next w:val="61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6"/>
    <w:next w:val="61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6"/>
    <w:next w:val="61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6"/>
    <w:next w:val="61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6"/>
    <w:next w:val="61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6"/>
    <w:next w:val="61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6"/>
    <w:next w:val="61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6"/>
    <w:next w:val="61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6"/>
    <w:next w:val="61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6"/>
    <w:next w:val="6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6"/>
    <w:next w:val="61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6"/>
    <w:next w:val="61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6"/>
    <w:next w:val="61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6"/>
    <w:next w:val="61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6"/>
    <w:next w:val="61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6"/>
    <w:next w:val="61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6"/>
    <w:next w:val="61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6"/>
    <w:next w:val="61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6"/>
    <w:next w:val="61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6"/>
    <w:next w:val="616"/>
    <w:uiPriority w:val="99"/>
    <w:unhideWhenUsed/>
    <w:pPr>
      <w:spacing w:after="0" w:afterAutospacing="0"/>
    </w:pPr>
  </w:style>
  <w:style w:type="paragraph" w:styleId="616" w:default="1">
    <w:name w:val="Normal"/>
    <w:next w:val="616"/>
    <w:link w:val="616"/>
    <w:qFormat/>
    <w:rPr>
      <w:sz w:val="24"/>
      <w:szCs w:val="24"/>
      <w:lang w:val="ru-RU" w:eastAsia="ru-RU" w:bidi="ar-SA"/>
    </w:rPr>
  </w:style>
  <w:style w:type="character" w:styleId="617">
    <w:name w:val="Основной шрифт абзаца"/>
    <w:next w:val="617"/>
    <w:link w:val="616"/>
    <w:semiHidden/>
  </w:style>
  <w:style w:type="table" w:styleId="618">
    <w:name w:val="Обычная таблица"/>
    <w:next w:val="618"/>
    <w:link w:val="616"/>
    <w:semiHidden/>
    <w:tblPr/>
  </w:style>
  <w:style w:type="numbering" w:styleId="619">
    <w:name w:val="Нет списка"/>
    <w:next w:val="619"/>
    <w:link w:val="616"/>
    <w:semiHidden/>
  </w:style>
  <w:style w:type="paragraph" w:styleId="620">
    <w:name w:val="ConsPlusTitle"/>
    <w:next w:val="620"/>
    <w:link w:val="616"/>
    <w:pPr>
      <w:widowControl w:val="off"/>
    </w:pPr>
    <w:rPr>
      <w:b/>
      <w:bCs/>
      <w:sz w:val="24"/>
      <w:szCs w:val="24"/>
      <w:lang w:val="ru-RU" w:eastAsia="ru-RU" w:bidi="ar-SA"/>
    </w:rPr>
  </w:style>
  <w:style w:type="paragraph" w:styleId="621">
    <w:name w:val="ConsPlusCell"/>
    <w:next w:val="621"/>
    <w:link w:val="616"/>
    <w:pPr>
      <w:widowControl w:val="off"/>
    </w:pPr>
    <w:rPr>
      <w:sz w:val="24"/>
      <w:szCs w:val="24"/>
      <w:lang w:val="ru-RU" w:eastAsia="ru-RU" w:bidi="ar-SA"/>
    </w:rPr>
  </w:style>
  <w:style w:type="paragraph" w:styleId="622">
    <w:name w:val="Текст выноски"/>
    <w:basedOn w:val="616"/>
    <w:next w:val="622"/>
    <w:link w:val="616"/>
    <w:semiHidden/>
    <w:rPr>
      <w:rFonts w:ascii="Tahoma" w:hAnsi="Tahoma" w:cs="Tahoma"/>
      <w:sz w:val="16"/>
      <w:szCs w:val="16"/>
    </w:rPr>
  </w:style>
  <w:style w:type="character" w:styleId="1400" w:default="1">
    <w:name w:val="Default Paragraph Font"/>
    <w:uiPriority w:val="1"/>
    <w:semiHidden/>
    <w:unhideWhenUsed/>
  </w:style>
  <w:style w:type="numbering" w:styleId="1401" w:default="1">
    <w:name w:val="No List"/>
    <w:uiPriority w:val="99"/>
    <w:semiHidden/>
    <w:unhideWhenUsed/>
  </w:style>
  <w:style w:type="table" w:styleId="140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>WolfishLair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kalashnikova</dc:creator>
  <cp:revision>27</cp:revision>
  <dcterms:created xsi:type="dcterms:W3CDTF">2013-01-22T06:21:00Z</dcterms:created>
  <dcterms:modified xsi:type="dcterms:W3CDTF">2024-04-24T05:50:07Z</dcterms:modified>
  <cp:version>983040</cp:version>
</cp:coreProperties>
</file>