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8671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48187996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6DFD55D7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46F33970" w14:textId="77777777" w:rsidR="00092CF2" w:rsidRDefault="00092CF2" w:rsidP="00092CF2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Pr="00DB18DD">
        <w:rPr>
          <w:b/>
          <w:color w:val="000000"/>
          <w:sz w:val="32"/>
          <w:szCs w:val="32"/>
        </w:rPr>
        <w:t>окументаци</w:t>
      </w:r>
      <w:r>
        <w:rPr>
          <w:b/>
          <w:color w:val="000000"/>
          <w:sz w:val="32"/>
          <w:szCs w:val="32"/>
        </w:rPr>
        <w:t>я по внесению изменений</w:t>
      </w:r>
      <w:r w:rsidRPr="00DB18DD">
        <w:rPr>
          <w:b/>
          <w:color w:val="000000"/>
          <w:sz w:val="32"/>
          <w:szCs w:val="32"/>
        </w:rPr>
        <w:t xml:space="preserve">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2036AFF3" w14:textId="77777777" w:rsidR="009B2CD9" w:rsidRPr="002E094E" w:rsidRDefault="009B2CD9" w:rsidP="00923A47">
      <w:pPr>
        <w:spacing w:line="276" w:lineRule="auto"/>
        <w:ind w:left="593" w:right="594"/>
        <w:jc w:val="center"/>
        <w:rPr>
          <w:sz w:val="40"/>
        </w:rPr>
      </w:pPr>
    </w:p>
    <w:p w14:paraId="714443FE" w14:textId="77777777" w:rsidR="00CC3B9C" w:rsidRPr="00142439" w:rsidRDefault="00FF00F0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</w:t>
      </w:r>
      <w:r w:rsidR="006D71A3" w:rsidRPr="00142439">
        <w:rPr>
          <w:b/>
          <w:i/>
          <w:sz w:val="28"/>
          <w:szCs w:val="28"/>
        </w:rPr>
        <w:t xml:space="preserve"> линейного объекта</w:t>
      </w:r>
      <w:r w:rsidR="00142439" w:rsidRPr="00142439">
        <w:rPr>
          <w:b/>
          <w:i/>
          <w:sz w:val="28"/>
          <w:szCs w:val="28"/>
        </w:rPr>
        <w:t>. Основная часть</w:t>
      </w:r>
    </w:p>
    <w:p w14:paraId="62F1489B" w14:textId="77777777" w:rsidR="00CC3B9C" w:rsidRPr="002E094E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Раздел 2</w:t>
      </w:r>
    </w:p>
    <w:p w14:paraId="5D7B48BC" w14:textId="77777777" w:rsidR="00643479" w:rsidRPr="00923A47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«Положение о размещении линейных объектов»</w:t>
      </w:r>
    </w:p>
    <w:p w14:paraId="5DA239C0" w14:textId="77777777" w:rsidR="00643479" w:rsidRPr="002E094E" w:rsidRDefault="00643479">
      <w:pPr>
        <w:jc w:val="center"/>
        <w:sectPr w:rsidR="00643479" w:rsidRPr="002E094E" w:rsidSect="00923A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600" w:bottom="280" w:left="840" w:header="709" w:footer="709" w:gutter="0"/>
          <w:cols w:space="720"/>
          <w:titlePg/>
          <w:docGrid w:linePitch="299"/>
        </w:sectPr>
      </w:pPr>
    </w:p>
    <w:p w14:paraId="338E5258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109B7" w14:textId="77777777" w:rsidR="00930E3F" w:rsidRPr="002E094E" w:rsidRDefault="00930E3F" w:rsidP="00923A47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606F7EAE" w14:textId="77777777" w:rsidR="00092CF2" w:rsidRDefault="00092CF2" w:rsidP="00092CF2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Pr="00DB18DD">
        <w:rPr>
          <w:b/>
          <w:color w:val="000000"/>
          <w:sz w:val="32"/>
          <w:szCs w:val="32"/>
        </w:rPr>
        <w:t>окументаци</w:t>
      </w:r>
      <w:r>
        <w:rPr>
          <w:b/>
          <w:color w:val="000000"/>
          <w:sz w:val="32"/>
          <w:szCs w:val="32"/>
        </w:rPr>
        <w:t>я по внесению изменений</w:t>
      </w:r>
      <w:r w:rsidRPr="00DB18DD">
        <w:rPr>
          <w:b/>
          <w:color w:val="000000"/>
          <w:sz w:val="32"/>
          <w:szCs w:val="32"/>
        </w:rPr>
        <w:t xml:space="preserve">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452CCE20" w14:textId="77777777" w:rsidR="00814278" w:rsidRPr="00FF00F0" w:rsidRDefault="00814278" w:rsidP="00923A47">
      <w:pPr>
        <w:spacing w:line="276" w:lineRule="auto"/>
        <w:ind w:right="594"/>
        <w:rPr>
          <w:sz w:val="32"/>
          <w:szCs w:val="32"/>
        </w:rPr>
      </w:pPr>
    </w:p>
    <w:p w14:paraId="662BBBA5" w14:textId="77777777" w:rsidR="00142439" w:rsidRPr="00142439" w:rsidRDefault="00142439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14:paraId="36CA864E" w14:textId="77777777" w:rsidR="00ED45E1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Раздел 2</w:t>
      </w:r>
    </w:p>
    <w:p w14:paraId="128F1E41" w14:textId="77777777" w:rsidR="00FB0F96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«Положение о размещении линейных объектов»</w:t>
      </w:r>
    </w:p>
    <w:p w14:paraId="178854C5" w14:textId="77777777" w:rsidR="00FB0F96" w:rsidRPr="002E094E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77777777" w:rsidR="0092112D" w:rsidRPr="002E094E" w:rsidRDefault="0092112D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7E9C5A8B" w14:textId="090EA698" w:rsidR="00930E3F" w:rsidRDefault="00930E3F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1219DC1B" w14:textId="051DA4D8" w:rsidR="00E86EBC" w:rsidRDefault="00E86EBC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5D49AC50" w14:textId="77777777" w:rsidR="00E86EBC" w:rsidRPr="00FF00F0" w:rsidRDefault="00E86EBC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386"/>
        <w:gridCol w:w="2140"/>
        <w:gridCol w:w="2933"/>
      </w:tblGrid>
      <w:tr w:rsidR="00F6262C" w:rsidRPr="002F7B2C" w14:paraId="1EC1A868" w14:textId="77777777" w:rsidTr="00923A47">
        <w:trPr>
          <w:trHeight w:val="454"/>
        </w:trPr>
        <w:tc>
          <w:tcPr>
            <w:tcW w:w="2575" w:type="pct"/>
            <w:shd w:val="clear" w:color="auto" w:fill="auto"/>
            <w:vAlign w:val="center"/>
          </w:tcPr>
          <w:p w14:paraId="4F4A880C" w14:textId="56BDD911" w:rsidR="00F6262C" w:rsidRDefault="008C11D7" w:rsidP="00F62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6262C" w:rsidRPr="002F7B2C">
              <w:rPr>
                <w:sz w:val="28"/>
                <w:szCs w:val="28"/>
              </w:rPr>
              <w:t>иректор</w:t>
            </w:r>
            <w:r w:rsidR="00F6262C">
              <w:rPr>
                <w:sz w:val="28"/>
                <w:szCs w:val="28"/>
              </w:rPr>
              <w:t xml:space="preserve"> ООО </w:t>
            </w:r>
            <w:r w:rsidR="00923A4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ИнжкадастрВлад</w:t>
            </w:r>
            <w:proofErr w:type="spellEnd"/>
            <w:r>
              <w:rPr>
                <w:sz w:val="28"/>
                <w:szCs w:val="28"/>
              </w:rPr>
              <w:t>-ДВ</w:t>
            </w:r>
            <w:r w:rsidR="00923A47">
              <w:rPr>
                <w:sz w:val="28"/>
                <w:szCs w:val="28"/>
              </w:rPr>
              <w:t>»</w:t>
            </w:r>
          </w:p>
          <w:p w14:paraId="79521071" w14:textId="77777777" w:rsidR="00923A47" w:rsidRPr="002F7B2C" w:rsidRDefault="00923A47" w:rsidP="00F6262C">
            <w:pPr>
              <w:rPr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5C4DC851" w14:textId="77777777" w:rsidR="00F6262C" w:rsidRPr="002F7B2C" w:rsidRDefault="00F6262C" w:rsidP="00F62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2F0AC2A3" w14:textId="1EC80E28" w:rsidR="00923A47" w:rsidRDefault="008C11D7" w:rsidP="00F62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Анциферов</w:t>
            </w:r>
          </w:p>
          <w:p w14:paraId="4AD9C0AE" w14:textId="77777777" w:rsidR="006F621A" w:rsidRPr="002F7B2C" w:rsidRDefault="006F621A" w:rsidP="00F6262C">
            <w:pPr>
              <w:rPr>
                <w:sz w:val="28"/>
                <w:szCs w:val="28"/>
              </w:rPr>
            </w:pPr>
          </w:p>
        </w:tc>
      </w:tr>
    </w:tbl>
    <w:p w14:paraId="74D081D6" w14:textId="77777777" w:rsidR="00930E3F" w:rsidRDefault="00930E3F">
      <w:pPr>
        <w:pStyle w:val="31"/>
        <w:spacing w:before="6"/>
        <w:rPr>
          <w:b w:val="0"/>
        </w:rPr>
      </w:pPr>
    </w:p>
    <w:p w14:paraId="7E11F4EF" w14:textId="77777777" w:rsidR="00930E3F" w:rsidRDefault="00930E3F">
      <w:pPr>
        <w:pStyle w:val="31"/>
        <w:spacing w:before="6"/>
        <w:rPr>
          <w:b w:val="0"/>
        </w:rPr>
      </w:pPr>
    </w:p>
    <w:p w14:paraId="11EE8151" w14:textId="77777777" w:rsidR="0092112D" w:rsidRDefault="0092112D">
      <w:pPr>
        <w:pStyle w:val="31"/>
        <w:spacing w:before="6"/>
        <w:rPr>
          <w:b w:val="0"/>
        </w:rPr>
      </w:pPr>
    </w:p>
    <w:p w14:paraId="05E3CA16" w14:textId="77777777" w:rsidR="006D71A3" w:rsidRDefault="006D71A3">
      <w:pPr>
        <w:pStyle w:val="31"/>
        <w:spacing w:before="6"/>
        <w:rPr>
          <w:b w:val="0"/>
        </w:rPr>
      </w:pPr>
    </w:p>
    <w:p w14:paraId="0ECC5050" w14:textId="77777777" w:rsidR="006D71A3" w:rsidRPr="002E094E" w:rsidRDefault="006D71A3">
      <w:pPr>
        <w:pStyle w:val="31"/>
        <w:spacing w:before="6"/>
        <w:rPr>
          <w:b w:val="0"/>
        </w:rPr>
      </w:pPr>
    </w:p>
    <w:p w14:paraId="4F31C7E1" w14:textId="77777777" w:rsidR="00643479" w:rsidRPr="00923A47" w:rsidRDefault="00643479" w:rsidP="00923A47">
      <w:pPr>
        <w:pStyle w:val="31"/>
        <w:spacing w:before="1"/>
        <w:ind w:left="0" w:right="119"/>
        <w:rPr>
          <w:b w:val="0"/>
        </w:rPr>
        <w:sectPr w:rsidR="00643479" w:rsidRPr="00923A47" w:rsidSect="00923A47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43CDF321" w14:textId="77777777" w:rsidR="006F63CD" w:rsidRPr="00265690" w:rsidRDefault="006F63CD" w:rsidP="00265690">
      <w:pPr>
        <w:jc w:val="center"/>
        <w:rPr>
          <w:sz w:val="28"/>
          <w:szCs w:val="28"/>
        </w:rPr>
      </w:pPr>
      <w:r w:rsidRPr="00265690"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F553BB" w:rsidRPr="00265690" w14:paraId="4B5C156C" w14:textId="77777777" w:rsidTr="00467721">
        <w:trPr>
          <w:trHeight w:val="350"/>
          <w:jc w:val="center"/>
        </w:trPr>
        <w:tc>
          <w:tcPr>
            <w:tcW w:w="1418" w:type="dxa"/>
            <w:vAlign w:val="center"/>
          </w:tcPr>
          <w:p w14:paraId="6F2FFA78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1EA8AEB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842F27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F553BB" w:rsidRPr="00265690" w14:paraId="45DD6111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26AE9C7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13B4441D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5A5D4B2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F553BB" w:rsidRPr="00265690" w14:paraId="652BCB9F" w14:textId="77777777" w:rsidTr="00467721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58E1B00D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Основная часть</w:t>
            </w:r>
          </w:p>
        </w:tc>
      </w:tr>
      <w:tr w:rsidR="00F553BB" w:rsidRPr="00265690" w14:paraId="6030496D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5C2F77FD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241B0DF6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3CF3632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14A6486E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377DCE83" w14:textId="77777777" w:rsidR="00F553BB" w:rsidRPr="00930E3F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930E3F">
              <w:rPr>
                <w:rFonts w:eastAsia="Arial"/>
                <w:sz w:val="24"/>
                <w:szCs w:val="24"/>
              </w:rPr>
              <w:t>Лист1</w:t>
            </w:r>
          </w:p>
        </w:tc>
        <w:tc>
          <w:tcPr>
            <w:tcW w:w="7088" w:type="dxa"/>
            <w:vAlign w:val="center"/>
          </w:tcPr>
          <w:p w14:paraId="7068515A" w14:textId="77777777" w:rsidR="00F553BB" w:rsidRPr="00930E3F" w:rsidRDefault="00F553BB" w:rsidP="00467721">
            <w:pPr>
              <w:jc w:val="both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Чертеж красных линий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6D05DAC2" w14:textId="77777777" w:rsidR="00F553BB" w:rsidRPr="00930E3F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6D2AC37A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4A35527E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7AAA7DE4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объектов.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  <w:r>
              <w:rPr>
                <w:rFonts w:eastAsia="Arial"/>
                <w:sz w:val="24"/>
                <w:szCs w:val="24"/>
              </w:rPr>
              <w:t>.</w:t>
            </w:r>
            <w:r w:rsidRPr="00C3223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AC9706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2C74E622" w14:textId="77777777" w:rsidTr="00467721">
        <w:trPr>
          <w:trHeight w:val="221"/>
          <w:jc w:val="center"/>
        </w:trPr>
        <w:tc>
          <w:tcPr>
            <w:tcW w:w="1418" w:type="dxa"/>
            <w:vAlign w:val="center"/>
          </w:tcPr>
          <w:p w14:paraId="1C9A1ABB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F0031B4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257FA1F4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6755A96A" w14:textId="77777777" w:rsidTr="00467721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1BAD6DB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Материалы по обоснованию</w:t>
            </w:r>
          </w:p>
        </w:tc>
      </w:tr>
      <w:tr w:rsidR="00F553BB" w:rsidRPr="00265690" w14:paraId="1EC3107B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5C51355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3278A27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58FDE18F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2CBBBB2D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3C5BF6E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F1AF86C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расположения эле</w:t>
            </w:r>
            <w:r>
              <w:rPr>
                <w:rFonts w:eastAsia="Arial"/>
                <w:sz w:val="24"/>
                <w:szCs w:val="24"/>
              </w:rPr>
              <w:t>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38B9032E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000</w:t>
            </w:r>
          </w:p>
        </w:tc>
      </w:tr>
      <w:tr w:rsidR="00F553BB" w:rsidRPr="00265690" w14:paraId="4B913FED" w14:textId="77777777" w:rsidTr="00467721">
        <w:trPr>
          <w:trHeight w:val="274"/>
          <w:jc w:val="center"/>
        </w:trPr>
        <w:tc>
          <w:tcPr>
            <w:tcW w:w="1418" w:type="dxa"/>
            <w:vAlign w:val="center"/>
          </w:tcPr>
          <w:p w14:paraId="3908816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1659B812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0AF747FC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5DA41143" w14:textId="77777777" w:rsidTr="00467721">
        <w:trPr>
          <w:trHeight w:val="261"/>
          <w:jc w:val="center"/>
        </w:trPr>
        <w:tc>
          <w:tcPr>
            <w:tcW w:w="1418" w:type="dxa"/>
            <w:vAlign w:val="center"/>
          </w:tcPr>
          <w:p w14:paraId="1E4E357A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39663CA6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организации улично-дорожной сети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265690">
              <w:rPr>
                <w:rFonts w:eastAsia="Arial"/>
                <w:sz w:val="24"/>
                <w:szCs w:val="24"/>
              </w:rPr>
              <w:t>и движения транспорта</w:t>
            </w:r>
            <w:r>
              <w:rPr>
                <w:rFonts w:eastAsia="Arial"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конструктивных и планировочных решений. 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5" w:type="dxa"/>
            <w:vAlign w:val="center"/>
          </w:tcPr>
          <w:p w14:paraId="2231700B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080A17BC" w14:textId="77777777" w:rsidTr="00467721">
        <w:trPr>
          <w:trHeight w:val="155"/>
          <w:jc w:val="center"/>
        </w:trPr>
        <w:tc>
          <w:tcPr>
            <w:tcW w:w="1418" w:type="dxa"/>
            <w:vAlign w:val="center"/>
          </w:tcPr>
          <w:p w14:paraId="7A372B2D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31805682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2383882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7421A553" w14:textId="77777777" w:rsidTr="00467721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063D2E30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F553BB" w:rsidRPr="00265690" w14:paraId="3EF347EB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49D062B4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A676F7A" w14:textId="77777777" w:rsidR="00F553BB" w:rsidRPr="00265690" w:rsidRDefault="00F553BB" w:rsidP="00467721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4D2C7E3A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F553BB" w:rsidRPr="00265690" w14:paraId="38C227A4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161ADBD7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1F7075F0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1 этап</w:t>
            </w:r>
          </w:p>
        </w:tc>
        <w:tc>
          <w:tcPr>
            <w:tcW w:w="1275" w:type="dxa"/>
            <w:vAlign w:val="center"/>
          </w:tcPr>
          <w:p w14:paraId="38693FD2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553BB" w:rsidRPr="00265690" w14:paraId="3DCA8738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0B779BF1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06A62C78" w14:textId="77777777" w:rsidR="00F553BB" w:rsidRPr="00265690" w:rsidRDefault="00F553BB" w:rsidP="00467721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2 этап</w:t>
            </w:r>
          </w:p>
        </w:tc>
        <w:tc>
          <w:tcPr>
            <w:tcW w:w="1275" w:type="dxa"/>
          </w:tcPr>
          <w:p w14:paraId="3004A8BF" w14:textId="77777777" w:rsidR="00F553BB" w:rsidRPr="00265690" w:rsidRDefault="00F553BB" w:rsidP="00467721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171983" w:rsidRPr="00265690" w14:paraId="07B1AA70" w14:textId="77777777" w:rsidTr="0063147A">
        <w:trPr>
          <w:trHeight w:val="260"/>
          <w:jc w:val="center"/>
        </w:trPr>
        <w:tc>
          <w:tcPr>
            <w:tcW w:w="1418" w:type="dxa"/>
            <w:vAlign w:val="center"/>
          </w:tcPr>
          <w:p w14:paraId="33B5581B" w14:textId="226C0EFD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4F01C632" w14:textId="0C85E6D9" w:rsidR="00171983" w:rsidRPr="00265690" w:rsidRDefault="00171983" w:rsidP="0017198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3 этап</w:t>
            </w:r>
          </w:p>
        </w:tc>
        <w:tc>
          <w:tcPr>
            <w:tcW w:w="1275" w:type="dxa"/>
            <w:vAlign w:val="center"/>
          </w:tcPr>
          <w:p w14:paraId="121D4375" w14:textId="3438B129" w:rsidR="00171983" w:rsidRPr="00537678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171983" w:rsidRPr="00265690" w14:paraId="3E871DED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59F79D1C" w14:textId="40DF78C8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0B532918" w14:textId="7D497966" w:rsidR="00171983" w:rsidRPr="00265690" w:rsidRDefault="00171983" w:rsidP="0017198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4 этап</w:t>
            </w:r>
          </w:p>
        </w:tc>
        <w:tc>
          <w:tcPr>
            <w:tcW w:w="1275" w:type="dxa"/>
          </w:tcPr>
          <w:p w14:paraId="105C431B" w14:textId="386558E1" w:rsidR="00171983" w:rsidRPr="00537678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171983" w:rsidRPr="00265690" w14:paraId="7611C628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781D1837" w14:textId="77777777" w:rsidR="00171983" w:rsidRPr="00265690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0F36EA46" w14:textId="77777777" w:rsidR="00171983" w:rsidRPr="00265690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48C62F4F" w14:textId="77777777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171983" w:rsidRPr="00265690" w14:paraId="2705542B" w14:textId="77777777" w:rsidTr="00467721">
        <w:trPr>
          <w:trHeight w:val="260"/>
          <w:jc w:val="center"/>
        </w:trPr>
        <w:tc>
          <w:tcPr>
            <w:tcW w:w="1418" w:type="dxa"/>
            <w:vAlign w:val="center"/>
          </w:tcPr>
          <w:p w14:paraId="22EBF248" w14:textId="77777777" w:rsidR="00171983" w:rsidRPr="00265690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50BA7079" w14:textId="77777777" w:rsidR="00171983" w:rsidRPr="00265690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B79B444" w14:textId="77777777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171983" w:rsidRPr="00265690" w14:paraId="2CF5594B" w14:textId="77777777" w:rsidTr="00467721">
        <w:trPr>
          <w:trHeight w:val="85"/>
          <w:jc w:val="center"/>
        </w:trPr>
        <w:tc>
          <w:tcPr>
            <w:tcW w:w="1418" w:type="dxa"/>
            <w:vAlign w:val="center"/>
          </w:tcPr>
          <w:p w14:paraId="127AC9B2" w14:textId="77777777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B985D80" w14:textId="77777777" w:rsidR="00171983" w:rsidRPr="00265690" w:rsidRDefault="00171983" w:rsidP="00171983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6F47B4F0" w14:textId="77777777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171983" w:rsidRPr="00265690" w14:paraId="549DE935" w14:textId="77777777" w:rsidTr="00467721">
        <w:trPr>
          <w:trHeight w:val="85"/>
          <w:jc w:val="center"/>
        </w:trPr>
        <w:tc>
          <w:tcPr>
            <w:tcW w:w="1418" w:type="dxa"/>
            <w:vAlign w:val="center"/>
          </w:tcPr>
          <w:p w14:paraId="5B6F60B2" w14:textId="77777777" w:rsidR="00171983" w:rsidRPr="00FD2346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5ADD6D52" w14:textId="77777777" w:rsidR="00171983" w:rsidRPr="00FD2346" w:rsidRDefault="00171983" w:rsidP="00171983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7BB7C8C3" w14:textId="77777777" w:rsidR="00171983" w:rsidRPr="00265690" w:rsidRDefault="00171983" w:rsidP="00171983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30560B32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bCs/>
          <w:sz w:val="28"/>
          <w:szCs w:val="28"/>
        </w:rPr>
        <w:id w:val="1286039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FF83F19" w14:textId="77777777" w:rsidR="005511B4" w:rsidRDefault="005511B4" w:rsidP="007000DC">
          <w:pPr>
            <w:pStyle w:val="32"/>
            <w:spacing w:line="360" w:lineRule="auto"/>
            <w:rPr>
              <w:bCs/>
              <w:sz w:val="28"/>
              <w:szCs w:val="28"/>
            </w:rPr>
          </w:pPr>
        </w:p>
        <w:p w14:paraId="21999C4B" w14:textId="77777777" w:rsidR="009F65FB" w:rsidRPr="009F65FB" w:rsidRDefault="005511B4" w:rsidP="005511B4">
          <w:pPr>
            <w:jc w:val="center"/>
            <w:rPr>
              <w:noProof/>
              <w:sz w:val="28"/>
              <w:szCs w:val="28"/>
            </w:rPr>
          </w:pPr>
          <w:r>
            <w:rPr>
              <w:bCs/>
              <w:sz w:val="28"/>
              <w:szCs w:val="28"/>
            </w:rPr>
            <w:br w:type="page"/>
          </w:r>
          <w:r w:rsidR="00661842" w:rsidRPr="009F65FB">
            <w:rPr>
              <w:b/>
              <w:sz w:val="28"/>
              <w:szCs w:val="28"/>
            </w:rPr>
            <w:lastRenderedPageBreak/>
            <w:t>Оглавление</w:t>
          </w:r>
          <w:r w:rsidR="009A3079" w:rsidRPr="009F65FB">
            <w:rPr>
              <w:b/>
              <w:sz w:val="28"/>
              <w:szCs w:val="28"/>
            </w:rPr>
            <w:fldChar w:fldCharType="begin"/>
          </w:r>
          <w:r w:rsidR="00991F27" w:rsidRPr="009F65FB">
            <w:rPr>
              <w:b/>
              <w:sz w:val="28"/>
              <w:szCs w:val="28"/>
            </w:rPr>
            <w:instrText xml:space="preserve"> TOC \o "1-3" \h \z \u </w:instrText>
          </w:r>
          <w:r w:rsidR="009A3079" w:rsidRPr="009F65FB">
            <w:rPr>
              <w:b/>
              <w:sz w:val="28"/>
              <w:szCs w:val="28"/>
            </w:rPr>
            <w:fldChar w:fldCharType="separate"/>
          </w:r>
        </w:p>
        <w:p w14:paraId="1D0DA69D" w14:textId="248DF275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7" w:history="1">
            <w:r w:rsidR="009F65FB" w:rsidRPr="009F65FB">
              <w:rPr>
                <w:rStyle w:val="a7"/>
                <w:noProof/>
                <w:sz w:val="28"/>
                <w:szCs w:val="28"/>
              </w:rPr>
              <w:t>Введение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_Toc70002837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5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BDA5CF" w14:textId="63F980CD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8" w:history="1">
            <w:r w:rsidR="009F65FB" w:rsidRPr="009F65FB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_Toc70002838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6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EC8B3" w14:textId="32AEF536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39" w:history="1">
            <w:r w:rsidR="009F65FB" w:rsidRPr="009F65FB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_Toc70002839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8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B62DFB" w14:textId="1B501071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0" w:history="1">
            <w:r w:rsidR="009F65FB" w:rsidRPr="009F65FB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_Toc70002840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8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0EBD72" w14:textId="10171C00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1" w:history="1">
            <w:r w:rsidR="009F65FB" w:rsidRPr="009F65FB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_Toc70002841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9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8667ED" w14:textId="676D6905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2" w:history="1">
            <w:r w:rsidR="009F65FB" w:rsidRPr="009F65FB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_Toc70002842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9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DBAB3" w14:textId="7232E243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3" w:history="1">
            <w:r w:rsidR="009F65FB" w:rsidRPr="009F65FB">
              <w:rPr>
                <w:rStyle w:val="a7"/>
                <w:noProof/>
                <w:sz w:val="28"/>
                <w:szCs w:val="28"/>
              </w:rPr>
      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_Toc70002843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10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0496F" w14:textId="765B3A8B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4" w:history="1">
            <w:r w:rsidR="009F65FB" w:rsidRPr="009F65FB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_Toc70002844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10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DEA16" w14:textId="38CE3FFE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5" w:history="1">
            <w:r w:rsidR="009F65FB" w:rsidRPr="009F65FB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_Toc70002845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11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A21C3" w14:textId="72F4BA29" w:rsidR="009F65FB" w:rsidRPr="009F65FB" w:rsidRDefault="007B4B23" w:rsidP="00574CB2">
          <w:pPr>
            <w:pStyle w:val="12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70002846" w:history="1">
            <w:r w:rsidR="009F65FB" w:rsidRPr="009F65FB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9F65FB" w:rsidRPr="009F65FB">
              <w:rPr>
                <w:noProof/>
                <w:webHidden/>
                <w:sz w:val="28"/>
                <w:szCs w:val="28"/>
              </w:rPr>
              <w:tab/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begin"/>
            </w:r>
            <w:r w:rsidR="009F65FB" w:rsidRPr="009F65FB">
              <w:rPr>
                <w:noProof/>
                <w:webHidden/>
                <w:sz w:val="28"/>
                <w:szCs w:val="28"/>
              </w:rPr>
              <w:instrText xml:space="preserve"> PAGEREF _Toc70002846 \h </w:instrText>
            </w:r>
            <w:r w:rsidR="009F65FB" w:rsidRPr="009F65FB">
              <w:rPr>
                <w:noProof/>
                <w:webHidden/>
                <w:sz w:val="28"/>
                <w:szCs w:val="28"/>
              </w:rPr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424F8">
              <w:rPr>
                <w:noProof/>
                <w:webHidden/>
                <w:sz w:val="28"/>
                <w:szCs w:val="28"/>
              </w:rPr>
              <w:t>12</w:t>
            </w:r>
            <w:r w:rsidR="009F65FB" w:rsidRPr="009F65F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E1287" w14:textId="77777777" w:rsidR="00991F27" w:rsidRPr="002E094E" w:rsidRDefault="009A3079" w:rsidP="00991F27">
          <w:pPr>
            <w:spacing w:line="360" w:lineRule="auto"/>
            <w:jc w:val="both"/>
            <w:rPr>
              <w:sz w:val="28"/>
              <w:szCs w:val="28"/>
            </w:rPr>
          </w:pPr>
          <w:r w:rsidRPr="009F65FB">
            <w:rPr>
              <w:sz w:val="28"/>
              <w:szCs w:val="28"/>
            </w:rPr>
            <w:fldChar w:fldCharType="end"/>
          </w:r>
        </w:p>
      </w:sdtContent>
    </w:sdt>
    <w:p w14:paraId="6C2992F7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11F80A57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923A47">
          <w:headerReference w:type="default" r:id="rId12"/>
          <w:footerReference w:type="default" r:id="rId13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73B161C7" w14:textId="77777777" w:rsidR="00A84403" w:rsidRPr="002E094E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84403" w:rsidRPr="002E094E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7700F5A4" w14:textId="77777777" w:rsidR="00991F27" w:rsidRPr="00265690" w:rsidRDefault="00991F27" w:rsidP="0079085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70002837"/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6A90FC20" w14:textId="77777777" w:rsidR="0079085F" w:rsidRDefault="0079085F" w:rsidP="0079085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" w:name="_Hlk86105315"/>
      <w:bookmarkStart w:id="2" w:name="_Hlk90561978"/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572553A1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Федерации.</w:t>
      </w:r>
    </w:p>
    <w:p w14:paraId="4E0638EE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Федерации.</w:t>
      </w:r>
    </w:p>
    <w:p w14:paraId="5FC2DC7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года).</w:t>
      </w:r>
    </w:p>
    <w:p w14:paraId="5190076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требованиях пожарной безопасности»; </w:t>
      </w:r>
    </w:p>
    <w:p w14:paraId="1D78321D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</w:t>
      </w:r>
    </w:p>
    <w:p w14:paraId="27275183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2.07.01-89*».</w:t>
      </w:r>
    </w:p>
    <w:p w14:paraId="2A6ED34D" w14:textId="77777777" w:rsidR="0079085F" w:rsidRDefault="0079085F" w:rsidP="0079085F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367F7B1F" w14:textId="77777777" w:rsidR="008C11D7" w:rsidRPr="008C11D7" w:rsidRDefault="0079085F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  <w:bookmarkEnd w:id="1"/>
    </w:p>
    <w:p w14:paraId="0F640063" w14:textId="77777777" w:rsidR="000E681A" w:rsidRPr="000E681A" w:rsidRDefault="0079085F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 w:rsidRPr="008C11D7">
        <w:rPr>
          <w:sz w:val="28"/>
          <w:szCs w:val="28"/>
        </w:rPr>
        <w:t xml:space="preserve">Генеральный план </w:t>
      </w:r>
      <w:r w:rsidR="008C11D7" w:rsidRPr="008C11D7">
        <w:rPr>
          <w:sz w:val="28"/>
          <w:szCs w:val="28"/>
        </w:rPr>
        <w:t>Артемовского городского округа Приморского края</w:t>
      </w:r>
      <w:r w:rsidRPr="008C11D7">
        <w:rPr>
          <w:sz w:val="28"/>
          <w:szCs w:val="28"/>
        </w:rPr>
        <w:t>)</w:t>
      </w:r>
      <w:bookmarkEnd w:id="2"/>
      <w:r w:rsidR="008C11D7" w:rsidRPr="008C11D7">
        <w:rPr>
          <w:sz w:val="28"/>
          <w:szCs w:val="28"/>
        </w:rPr>
        <w:t>.</w:t>
      </w:r>
      <w:r w:rsidR="008C11D7">
        <w:rPr>
          <w:sz w:val="28"/>
          <w:szCs w:val="28"/>
        </w:rPr>
        <w:t xml:space="preserve"> </w:t>
      </w:r>
    </w:p>
    <w:p w14:paraId="3F245415" w14:textId="38D2F093" w:rsidR="008C11D7" w:rsidRPr="008C11D7" w:rsidRDefault="008C11D7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Правила землепользования и застройки</w:t>
      </w:r>
      <w:r w:rsidRPr="008C11D7">
        <w:t xml:space="preserve"> </w:t>
      </w:r>
      <w:r w:rsidRPr="008C11D7">
        <w:rPr>
          <w:sz w:val="28"/>
          <w:szCs w:val="28"/>
        </w:rPr>
        <w:t>Артемовского городского округа Приморского края</w:t>
      </w:r>
      <w:r w:rsidR="000E681A">
        <w:rPr>
          <w:sz w:val="28"/>
          <w:szCs w:val="28"/>
        </w:rPr>
        <w:t>.</w:t>
      </w:r>
    </w:p>
    <w:p w14:paraId="1A9629B3" w14:textId="53A31D17" w:rsidR="00575413" w:rsidRPr="008C11D7" w:rsidRDefault="00575413" w:rsidP="008C11D7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br w:type="page"/>
      </w:r>
    </w:p>
    <w:p w14:paraId="0DCA77A6" w14:textId="77777777" w:rsidR="00991F27" w:rsidRPr="00BB5584" w:rsidRDefault="009A137C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Toc70002838"/>
      <w:r w:rsidRPr="00BB5584">
        <w:rPr>
          <w:rFonts w:ascii="Times New Roman" w:hAnsi="Times New Roman" w:cs="Times New Roman"/>
          <w:color w:val="auto"/>
        </w:rPr>
        <w:lastRenderedPageBreak/>
        <w:t>1</w:t>
      </w:r>
      <w:r w:rsidR="00991F27" w:rsidRPr="00BB5584">
        <w:rPr>
          <w:rFonts w:ascii="Times New Roman" w:hAnsi="Times New Roman" w:cs="Times New Roman"/>
          <w:color w:val="auto"/>
        </w:rPr>
        <w:t xml:space="preserve">. </w:t>
      </w:r>
      <w:r w:rsidRPr="00BB5584">
        <w:rPr>
          <w:rFonts w:ascii="Times New Roman" w:hAnsi="Times New Roman" w:cs="Times New Roman"/>
          <w:color w:val="auto"/>
        </w:rPr>
        <w:t>Наименование, основные характеристики</w:t>
      </w:r>
      <w:r w:rsidR="007000DC">
        <w:rPr>
          <w:rFonts w:ascii="Times New Roman" w:hAnsi="Times New Roman" w:cs="Times New Roman"/>
          <w:color w:val="auto"/>
        </w:rPr>
        <w:t xml:space="preserve"> </w:t>
      </w:r>
      <w:r w:rsidRPr="00BB5584">
        <w:rPr>
          <w:rFonts w:ascii="Times New Roman" w:hAnsi="Times New Roman" w:cs="Times New Roman"/>
          <w:color w:val="auto"/>
        </w:rPr>
        <w:t>и назначение планируемых для размещения линейных объектов</w:t>
      </w:r>
      <w:bookmarkEnd w:id="3"/>
    </w:p>
    <w:p w14:paraId="2B5CC797" w14:textId="77777777" w:rsidR="0035683C" w:rsidRPr="00B538C0" w:rsidRDefault="0035683C" w:rsidP="0079085F">
      <w:pPr>
        <w:spacing w:line="276" w:lineRule="auto"/>
        <w:jc w:val="center"/>
        <w:rPr>
          <w:sz w:val="28"/>
          <w:szCs w:val="28"/>
        </w:rPr>
      </w:pPr>
    </w:p>
    <w:p w14:paraId="0FE1EF5F" w14:textId="358EDF72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План трассы железнодорожных путей необщего пользования запроектирован 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соответствии с требованиями действующего СП 37.13330.2012 «Промышленный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транспорт» для линии III-п категории.</w:t>
      </w:r>
    </w:p>
    <w:p w14:paraId="28211BDA" w14:textId="519949F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Строительство железнодорожных путей будет происходить в три этапа.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Выполнение каждого этапа предполагает ввод в эксплуатацию объектов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завершенного строительством. Существующая длина пути №1 составляет 272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полезная 262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пути №2 составляет 277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267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</w:t>
      </w:r>
      <w:r>
        <w:rPr>
          <w:rFonts w:eastAsia="Calibri" w:cs="Times New Roman"/>
          <w:sz w:val="28"/>
          <w:szCs w:val="28"/>
        </w:rPr>
        <w:t>.</w:t>
      </w:r>
    </w:p>
    <w:p w14:paraId="4F6BC6AE" w14:textId="7326D88F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первом этапе производится удлинение железнодорожных путей №1,2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на 4 условных вагона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(56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м)</w:t>
      </w:r>
      <w:r>
        <w:rPr>
          <w:rFonts w:eastAsia="Calibri" w:cs="Times New Roman"/>
          <w:sz w:val="28"/>
          <w:szCs w:val="28"/>
        </w:rPr>
        <w:t>.</w:t>
      </w:r>
    </w:p>
    <w:p w14:paraId="67D3E062" w14:textId="4F102859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№1 (погрузо-выгрузочный) запроектировано удлинение от тупика на 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вновь проектируемая полная длина пути №1- 328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318 м.</w:t>
      </w:r>
    </w:p>
    <w:p w14:paraId="3B2CDA67" w14:textId="05958FBA" w:rsidR="0035683C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№2 (погрузо-выгрузочный) запроектировано удлинение от тупика на 56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вновь проектируемая полная длина пути №2- 333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323 м.</w:t>
      </w:r>
    </w:p>
    <w:p w14:paraId="4656ADBB" w14:textId="655A19B4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втором этапе происходит строительство двух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погрузо-выгрузочных путей№5,6 и смещение оси пути №2 без увеличения длины.</w:t>
      </w:r>
    </w:p>
    <w:p w14:paraId="55616003" w14:textId="22B59E3A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№5 (погрузо-выгрузочный) запроектирован от стрелочного перевода №9,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до упора, проектируемая полная длина пути №5- 324м, полезная 263 м.</w:t>
      </w:r>
    </w:p>
    <w:p w14:paraId="77F75D3B" w14:textId="58BE9A5B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Путь №6 (погрузо-выгрузочный) запроектирован от стрелочного перевода №10,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до упора, проектируемая полная длина пути №6- 316м, полезная 253 м</w:t>
      </w:r>
    </w:p>
    <w:p w14:paraId="61D4367F" w14:textId="31960E05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На третьем этапе, запроектировано увеличение проектируемых путей на 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условных вагонов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(112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м).</w:t>
      </w:r>
    </w:p>
    <w:p w14:paraId="253B9BA0" w14:textId="7777777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Окончательные длины путей после трех этапов составит:</w:t>
      </w:r>
    </w:p>
    <w:p w14:paraId="7ACE1BC5" w14:textId="571B4EEE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№1- 440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365 м;</w:t>
      </w:r>
    </w:p>
    <w:p w14:paraId="500C3BD1" w14:textId="4DAFF533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№2- 445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375 м;</w:t>
      </w:r>
    </w:p>
    <w:p w14:paraId="005FA675" w14:textId="725E7F3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№5- 436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375 м;</w:t>
      </w:r>
    </w:p>
    <w:p w14:paraId="55B78299" w14:textId="2E434B15" w:rsid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  <w:r w:rsidRPr="000E681A">
        <w:rPr>
          <w:rFonts w:eastAsia="Calibri" w:cs="Times New Roman"/>
          <w:sz w:val="28"/>
          <w:szCs w:val="28"/>
        </w:rPr>
        <w:t>- полная длина пути №6- 428</w:t>
      </w:r>
      <w:r>
        <w:rPr>
          <w:rFonts w:eastAsia="Calibri" w:cs="Times New Roman"/>
          <w:sz w:val="28"/>
          <w:szCs w:val="28"/>
        </w:rPr>
        <w:t xml:space="preserve"> </w:t>
      </w:r>
      <w:r w:rsidRPr="000E681A">
        <w:rPr>
          <w:rFonts w:eastAsia="Calibri" w:cs="Times New Roman"/>
          <w:sz w:val="28"/>
          <w:szCs w:val="28"/>
        </w:rPr>
        <w:t>м, полезная 365 м</w:t>
      </w:r>
      <w:r>
        <w:rPr>
          <w:rFonts w:eastAsia="Calibri" w:cs="Times New Roman"/>
          <w:sz w:val="28"/>
          <w:szCs w:val="28"/>
        </w:rPr>
        <w:t>.</w:t>
      </w:r>
    </w:p>
    <w:p w14:paraId="0F30A154" w14:textId="57A9D095" w:rsid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</w:p>
    <w:p w14:paraId="28B3BF65" w14:textId="77777777" w:rsidR="000E681A" w:rsidRPr="000E681A" w:rsidRDefault="000E681A" w:rsidP="000E681A">
      <w:pPr>
        <w:pStyle w:val="aff"/>
        <w:spacing w:line="276" w:lineRule="auto"/>
        <w:ind w:left="-142"/>
        <w:rPr>
          <w:rFonts w:eastAsia="Calibri" w:cs="Times New Roman"/>
          <w:sz w:val="28"/>
          <w:szCs w:val="28"/>
        </w:rPr>
      </w:pPr>
    </w:p>
    <w:p w14:paraId="1193E6FC" w14:textId="77777777" w:rsidR="00FB5486" w:rsidRDefault="00FB5486">
      <w:pPr>
        <w:rPr>
          <w:sz w:val="28"/>
          <w:szCs w:val="28"/>
          <w:lang w:bidi="ar-SA"/>
        </w:rPr>
      </w:pPr>
      <w:r>
        <w:rPr>
          <w:sz w:val="28"/>
          <w:szCs w:val="28"/>
        </w:rPr>
        <w:br w:type="page"/>
      </w:r>
    </w:p>
    <w:p w14:paraId="42C3720A" w14:textId="6F7FB6C7" w:rsidR="0035683C" w:rsidRPr="0035683C" w:rsidRDefault="0035683C" w:rsidP="0079085F">
      <w:pPr>
        <w:pStyle w:val="aff"/>
        <w:spacing w:line="276" w:lineRule="auto"/>
        <w:ind w:left="-142"/>
        <w:jc w:val="right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lastRenderedPageBreak/>
        <w:t>Таблица №1</w:t>
      </w:r>
    </w:p>
    <w:p w14:paraId="5EFAD48E" w14:textId="66A41FE5" w:rsidR="0035683C" w:rsidRDefault="0035683C" w:rsidP="0079085F">
      <w:pPr>
        <w:pStyle w:val="aff"/>
        <w:spacing w:line="276" w:lineRule="auto"/>
        <w:ind w:left="0" w:right="0"/>
        <w:jc w:val="center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t>Основные параметры проектируем</w:t>
      </w:r>
      <w:r w:rsidR="00583B6B">
        <w:rPr>
          <w:rFonts w:cs="Times New Roman"/>
          <w:sz w:val="28"/>
          <w:szCs w:val="28"/>
        </w:rPr>
        <w:t>ого линейного объекта</w:t>
      </w:r>
    </w:p>
    <w:p w14:paraId="41688808" w14:textId="62376DB3" w:rsidR="000E681A" w:rsidRDefault="000E681A" w:rsidP="0079085F">
      <w:pPr>
        <w:pStyle w:val="aff"/>
        <w:spacing w:line="276" w:lineRule="auto"/>
        <w:ind w:left="0" w:right="0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678"/>
        <w:gridCol w:w="1843"/>
        <w:gridCol w:w="2126"/>
      </w:tblGrid>
      <w:tr w:rsidR="000E681A" w:rsidRPr="007000DC" w14:paraId="03615EB2" w14:textId="77777777" w:rsidTr="009C6BC6">
        <w:trPr>
          <w:trHeight w:val="654"/>
        </w:trPr>
        <w:tc>
          <w:tcPr>
            <w:tcW w:w="680" w:type="dxa"/>
            <w:vAlign w:val="center"/>
          </w:tcPr>
          <w:p w14:paraId="7605AAF2" w14:textId="77777777" w:rsidR="000E681A" w:rsidRPr="007000DC" w:rsidRDefault="000E681A" w:rsidP="007000DC">
            <w:pPr>
              <w:pStyle w:val="aff"/>
              <w:tabs>
                <w:tab w:val="left" w:pos="-113"/>
              </w:tabs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7000DC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14:paraId="527C0332" w14:textId="77777777" w:rsidR="000E681A" w:rsidRPr="007000DC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основного параметра</w:t>
            </w:r>
          </w:p>
        </w:tc>
        <w:tc>
          <w:tcPr>
            <w:tcW w:w="1843" w:type="dxa"/>
            <w:vAlign w:val="center"/>
          </w:tcPr>
          <w:p w14:paraId="4558A379" w14:textId="27352C15" w:rsidR="000E681A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Изм.</w:t>
            </w:r>
          </w:p>
        </w:tc>
        <w:tc>
          <w:tcPr>
            <w:tcW w:w="2126" w:type="dxa"/>
            <w:vAlign w:val="center"/>
          </w:tcPr>
          <w:p w14:paraId="7A93639C" w14:textId="15008DC5" w:rsidR="000E681A" w:rsidRDefault="000E681A" w:rsidP="007000DC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</w:t>
            </w:r>
          </w:p>
        </w:tc>
      </w:tr>
      <w:tr w:rsidR="000E681A" w:rsidRPr="007000DC" w14:paraId="230DE945" w14:textId="77777777" w:rsidTr="009C6BC6">
        <w:tc>
          <w:tcPr>
            <w:tcW w:w="680" w:type="dxa"/>
            <w:vAlign w:val="center"/>
          </w:tcPr>
          <w:p w14:paraId="5EE12679" w14:textId="77777777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7E8DDAE0" w14:textId="7CC7F090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Категория линии (СП 37.13330.2012)</w:t>
            </w:r>
          </w:p>
        </w:tc>
        <w:tc>
          <w:tcPr>
            <w:tcW w:w="1843" w:type="dxa"/>
            <w:vAlign w:val="center"/>
          </w:tcPr>
          <w:p w14:paraId="057CD4FB" w14:textId="1D64B1A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2312CB4C" w14:textId="18CCA3A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  <w:lang w:val="en-US"/>
              </w:rPr>
              <w:t>III-</w:t>
            </w:r>
            <w:r>
              <w:rPr>
                <w:rFonts w:cs="Times New Roman"/>
                <w:sz w:val="28"/>
                <w:szCs w:val="28"/>
              </w:rPr>
              <w:t>п)</w:t>
            </w:r>
          </w:p>
        </w:tc>
      </w:tr>
      <w:tr w:rsidR="000E681A" w:rsidRPr="007000DC" w14:paraId="4E5A4F1F" w14:textId="77777777" w:rsidTr="009C6BC6">
        <w:tc>
          <w:tcPr>
            <w:tcW w:w="680" w:type="dxa"/>
            <w:vMerge w:val="restart"/>
            <w:vAlign w:val="center"/>
          </w:tcPr>
          <w:p w14:paraId="67BABA8E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193C629" w14:textId="5D4D147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Полная длина:</w:t>
            </w:r>
          </w:p>
        </w:tc>
        <w:tc>
          <w:tcPr>
            <w:tcW w:w="1843" w:type="dxa"/>
            <w:vMerge w:val="restart"/>
            <w:vAlign w:val="center"/>
          </w:tcPr>
          <w:p w14:paraId="16A8B685" w14:textId="674CA220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D25CDF1" w14:textId="01F48610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E681A" w:rsidRPr="007000DC" w14:paraId="3FFFC3ED" w14:textId="77777777" w:rsidTr="009C6BC6">
        <w:tc>
          <w:tcPr>
            <w:tcW w:w="680" w:type="dxa"/>
            <w:vMerge/>
            <w:vAlign w:val="center"/>
          </w:tcPr>
          <w:p w14:paraId="62A8CD0B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0CF04E7" w14:textId="1DA2D7EA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1</w:t>
            </w:r>
          </w:p>
        </w:tc>
        <w:tc>
          <w:tcPr>
            <w:tcW w:w="1843" w:type="dxa"/>
            <w:vMerge/>
            <w:vAlign w:val="center"/>
          </w:tcPr>
          <w:p w14:paraId="20FBC698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5FE834B" w14:textId="24F6912F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</w:t>
            </w:r>
          </w:p>
        </w:tc>
      </w:tr>
      <w:tr w:rsidR="000E681A" w:rsidRPr="007000DC" w14:paraId="2D386090" w14:textId="77777777" w:rsidTr="009C6BC6">
        <w:tc>
          <w:tcPr>
            <w:tcW w:w="680" w:type="dxa"/>
            <w:vMerge/>
            <w:vAlign w:val="center"/>
          </w:tcPr>
          <w:p w14:paraId="35833A28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65AE7D4" w14:textId="7B664FDA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2</w:t>
            </w:r>
          </w:p>
        </w:tc>
        <w:tc>
          <w:tcPr>
            <w:tcW w:w="1843" w:type="dxa"/>
            <w:vMerge/>
            <w:vAlign w:val="center"/>
          </w:tcPr>
          <w:p w14:paraId="687C5494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4C5A42F" w14:textId="547705BF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436,59</w:t>
            </w:r>
          </w:p>
        </w:tc>
      </w:tr>
      <w:tr w:rsidR="000E681A" w:rsidRPr="007000DC" w14:paraId="11C37921" w14:textId="77777777" w:rsidTr="009C6BC6">
        <w:tc>
          <w:tcPr>
            <w:tcW w:w="680" w:type="dxa"/>
            <w:vMerge/>
            <w:vAlign w:val="center"/>
          </w:tcPr>
          <w:p w14:paraId="531F1347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6A337EA1" w14:textId="373E5DE9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5</w:t>
            </w:r>
          </w:p>
        </w:tc>
        <w:tc>
          <w:tcPr>
            <w:tcW w:w="1843" w:type="dxa"/>
            <w:vMerge/>
            <w:vAlign w:val="center"/>
          </w:tcPr>
          <w:p w14:paraId="548DDFA5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1C9B221" w14:textId="148E842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436,59</w:t>
            </w:r>
          </w:p>
        </w:tc>
      </w:tr>
      <w:tr w:rsidR="000E681A" w:rsidRPr="007000DC" w14:paraId="1D541590" w14:textId="77777777" w:rsidTr="009C6BC6">
        <w:tc>
          <w:tcPr>
            <w:tcW w:w="680" w:type="dxa"/>
            <w:vMerge/>
            <w:vAlign w:val="center"/>
          </w:tcPr>
          <w:p w14:paraId="16443082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5105AAB1" w14:textId="5C882AF4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путь 6</w:t>
            </w:r>
          </w:p>
        </w:tc>
        <w:tc>
          <w:tcPr>
            <w:tcW w:w="1843" w:type="dxa"/>
            <w:vMerge/>
            <w:vAlign w:val="center"/>
          </w:tcPr>
          <w:p w14:paraId="61721C5E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1B73AB5" w14:textId="0E210778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428,19</w:t>
            </w:r>
          </w:p>
        </w:tc>
      </w:tr>
      <w:tr w:rsidR="000E681A" w:rsidRPr="007000DC" w14:paraId="7CDC2E9C" w14:textId="77777777" w:rsidTr="009C6BC6">
        <w:tc>
          <w:tcPr>
            <w:tcW w:w="680" w:type="dxa"/>
            <w:vMerge/>
            <w:vAlign w:val="center"/>
          </w:tcPr>
          <w:p w14:paraId="31461D06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69D43682" w14:textId="1BC2FF5E" w:rsidR="000E681A" w:rsidRDefault="000E681A" w:rsidP="000E681A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Merge/>
            <w:vAlign w:val="center"/>
          </w:tcPr>
          <w:p w14:paraId="0D3C166F" w14:textId="77777777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53567CE" w14:textId="58974013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1469,37</w:t>
            </w:r>
          </w:p>
        </w:tc>
      </w:tr>
      <w:tr w:rsidR="000E681A" w:rsidRPr="007000DC" w14:paraId="1E0BA6B0" w14:textId="77777777" w:rsidTr="009C6BC6">
        <w:tc>
          <w:tcPr>
            <w:tcW w:w="680" w:type="dxa"/>
            <w:vAlign w:val="center"/>
          </w:tcPr>
          <w:p w14:paraId="799A42EB" w14:textId="17519A29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2E06340C" w14:textId="54DA7CF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Протяжение кривых, всего</w:t>
            </w:r>
          </w:p>
        </w:tc>
        <w:tc>
          <w:tcPr>
            <w:tcW w:w="1843" w:type="dxa"/>
            <w:vAlign w:val="center"/>
          </w:tcPr>
          <w:p w14:paraId="71AC55CF" w14:textId="55246AD4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км/%</w:t>
            </w:r>
          </w:p>
        </w:tc>
        <w:tc>
          <w:tcPr>
            <w:tcW w:w="2126" w:type="dxa"/>
            <w:vAlign w:val="center"/>
          </w:tcPr>
          <w:p w14:paraId="3F0781CF" w14:textId="4DE9C8EB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0,077/5,2</w:t>
            </w:r>
          </w:p>
        </w:tc>
      </w:tr>
      <w:tr w:rsidR="000E681A" w:rsidRPr="007000DC" w14:paraId="75C114B2" w14:textId="77777777" w:rsidTr="009C6BC6">
        <w:tc>
          <w:tcPr>
            <w:tcW w:w="680" w:type="dxa"/>
            <w:vAlign w:val="center"/>
          </w:tcPr>
          <w:p w14:paraId="4006622A" w14:textId="1CCDC281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4FF0AFE3" w14:textId="029E0F01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радиусом менее 800 м</w:t>
            </w:r>
          </w:p>
        </w:tc>
        <w:tc>
          <w:tcPr>
            <w:tcW w:w="1843" w:type="dxa"/>
            <w:vAlign w:val="center"/>
          </w:tcPr>
          <w:p w14:paraId="69F04344" w14:textId="742B5D84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км/%</w:t>
            </w:r>
          </w:p>
        </w:tc>
        <w:tc>
          <w:tcPr>
            <w:tcW w:w="2126" w:type="dxa"/>
            <w:vAlign w:val="center"/>
          </w:tcPr>
          <w:p w14:paraId="5F986E01" w14:textId="5478D45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0,043/2,8</w:t>
            </w:r>
          </w:p>
        </w:tc>
      </w:tr>
      <w:tr w:rsidR="000E681A" w:rsidRPr="007000DC" w14:paraId="1E690C3A" w14:textId="77777777" w:rsidTr="009C6BC6">
        <w:tc>
          <w:tcPr>
            <w:tcW w:w="680" w:type="dxa"/>
            <w:vAlign w:val="center"/>
          </w:tcPr>
          <w:p w14:paraId="0B43E5EE" w14:textId="3A77D87D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46D89947" w14:textId="72D5F3C3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Наименьший радиус</w:t>
            </w:r>
          </w:p>
        </w:tc>
        <w:tc>
          <w:tcPr>
            <w:tcW w:w="1843" w:type="dxa"/>
            <w:vAlign w:val="center"/>
          </w:tcPr>
          <w:p w14:paraId="6BC15006" w14:textId="14F56585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vAlign w:val="center"/>
          </w:tcPr>
          <w:p w14:paraId="7E7D0D02" w14:textId="76D1D5EC" w:rsidR="000E681A" w:rsidRPr="007000DC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9C6BC6" w:rsidRPr="007000DC" w14:paraId="6A47E333" w14:textId="77777777" w:rsidTr="009C6BC6">
        <w:tc>
          <w:tcPr>
            <w:tcW w:w="680" w:type="dxa"/>
            <w:vMerge w:val="restart"/>
            <w:vAlign w:val="center"/>
          </w:tcPr>
          <w:p w14:paraId="3F06C258" w14:textId="22B9120C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15A896E" w14:textId="3508E602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Наименьшая длина прямых вставок между кривыми направленными:</w:t>
            </w:r>
          </w:p>
        </w:tc>
        <w:tc>
          <w:tcPr>
            <w:tcW w:w="1843" w:type="dxa"/>
            <w:vMerge w:val="restart"/>
            <w:vAlign w:val="center"/>
          </w:tcPr>
          <w:p w14:paraId="02A81967" w14:textId="0B6DAF25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957042D" w14:textId="635B633B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C6BC6" w:rsidRPr="007000DC" w14:paraId="005D91B8" w14:textId="77777777" w:rsidTr="009C6BC6">
        <w:tc>
          <w:tcPr>
            <w:tcW w:w="680" w:type="dxa"/>
            <w:vMerge/>
            <w:vAlign w:val="center"/>
          </w:tcPr>
          <w:p w14:paraId="5243E21C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114637C6" w14:textId="03BB8424" w:rsidR="009C6BC6" w:rsidRDefault="009C6BC6" w:rsidP="009C6BC6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одну сторону</w:t>
            </w:r>
          </w:p>
        </w:tc>
        <w:tc>
          <w:tcPr>
            <w:tcW w:w="1843" w:type="dxa"/>
            <w:vMerge/>
            <w:vAlign w:val="center"/>
          </w:tcPr>
          <w:p w14:paraId="4DD6541C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265A451" w14:textId="09E4DC90" w:rsidR="009C6BC6" w:rsidRPr="007000D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9C6BC6" w:rsidRPr="007000DC" w14:paraId="47C6AF1D" w14:textId="77777777" w:rsidTr="009C6BC6">
        <w:tc>
          <w:tcPr>
            <w:tcW w:w="680" w:type="dxa"/>
            <w:vMerge/>
            <w:vAlign w:val="center"/>
          </w:tcPr>
          <w:p w14:paraId="62E4115A" w14:textId="5DF2B790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627A888E" w14:textId="28190393" w:rsidR="009C6BC6" w:rsidRDefault="009C6BC6" w:rsidP="009C6BC6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разные стороны</w:t>
            </w:r>
          </w:p>
        </w:tc>
        <w:tc>
          <w:tcPr>
            <w:tcW w:w="1843" w:type="dxa"/>
            <w:vMerge/>
            <w:vAlign w:val="center"/>
          </w:tcPr>
          <w:p w14:paraId="7A374E9A" w14:textId="77777777" w:rsidR="009C6BC6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1D587C8" w14:textId="2BEE23AE" w:rsidR="009C6BC6" w:rsidRPr="0092511C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0E681A" w:rsidRPr="007000DC" w14:paraId="0D447AFA" w14:textId="77777777" w:rsidTr="009C6BC6">
        <w:tc>
          <w:tcPr>
            <w:tcW w:w="680" w:type="dxa"/>
            <w:vAlign w:val="center"/>
          </w:tcPr>
          <w:p w14:paraId="2C38D2DD" w14:textId="4378F344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14:paraId="1AFE2E45" w14:textId="6F225DCF" w:rsidR="000E681A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Максимальный уклон</w:t>
            </w:r>
          </w:p>
        </w:tc>
        <w:tc>
          <w:tcPr>
            <w:tcW w:w="1843" w:type="dxa"/>
            <w:vAlign w:val="center"/>
          </w:tcPr>
          <w:p w14:paraId="4DA64F6F" w14:textId="1475CF7E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‰</w:t>
            </w:r>
          </w:p>
        </w:tc>
        <w:tc>
          <w:tcPr>
            <w:tcW w:w="2126" w:type="dxa"/>
            <w:vAlign w:val="center"/>
          </w:tcPr>
          <w:p w14:paraId="2441D992" w14:textId="5F957B7F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</w:t>
            </w:r>
          </w:p>
        </w:tc>
      </w:tr>
      <w:tr w:rsidR="000E681A" w:rsidRPr="007000DC" w14:paraId="56869483" w14:textId="77777777" w:rsidTr="009C6BC6">
        <w:tc>
          <w:tcPr>
            <w:tcW w:w="680" w:type="dxa"/>
            <w:vAlign w:val="center"/>
          </w:tcPr>
          <w:p w14:paraId="172E807F" w14:textId="12195D62" w:rsidR="000E681A" w:rsidRDefault="000E681A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14:paraId="6E043A09" w14:textId="67C101B1" w:rsidR="000E681A" w:rsidRDefault="009C6BC6" w:rsidP="00975FA3">
            <w:pPr>
              <w:pStyle w:val="aff"/>
              <w:spacing w:line="240" w:lineRule="auto"/>
              <w:ind w:left="0" w:right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Протяжение участков с максимальным уклоном</w:t>
            </w:r>
          </w:p>
        </w:tc>
        <w:tc>
          <w:tcPr>
            <w:tcW w:w="1843" w:type="dxa"/>
            <w:vAlign w:val="center"/>
          </w:tcPr>
          <w:p w14:paraId="06D8C745" w14:textId="42814A99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км/‰</w:t>
            </w:r>
          </w:p>
        </w:tc>
        <w:tc>
          <w:tcPr>
            <w:tcW w:w="2126" w:type="dxa"/>
            <w:vAlign w:val="center"/>
          </w:tcPr>
          <w:p w14:paraId="33336A6D" w14:textId="343B805A" w:rsidR="000E681A" w:rsidRDefault="009C6BC6" w:rsidP="00975FA3">
            <w:pPr>
              <w:pStyle w:val="aff"/>
              <w:spacing w:line="240" w:lineRule="auto"/>
              <w:ind w:left="0" w:right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0,12/1,8</w:t>
            </w:r>
          </w:p>
        </w:tc>
      </w:tr>
    </w:tbl>
    <w:p w14:paraId="6C7E18DB" w14:textId="7A1621D9" w:rsidR="0035683C" w:rsidRDefault="0035683C" w:rsidP="0035683C">
      <w:pPr>
        <w:pStyle w:val="aff"/>
        <w:rPr>
          <w:rFonts w:cs="Times New Roman"/>
          <w:sz w:val="28"/>
          <w:szCs w:val="28"/>
        </w:rPr>
      </w:pPr>
    </w:p>
    <w:p w14:paraId="3376AA68" w14:textId="77777777" w:rsidR="000A0E65" w:rsidRPr="000A0E65" w:rsidRDefault="000A0E65" w:rsidP="000A0E65">
      <w:pPr>
        <w:pStyle w:val="aff"/>
        <w:spacing w:line="276" w:lineRule="auto"/>
        <w:ind w:left="0" w:right="0"/>
        <w:rPr>
          <w:sz w:val="28"/>
          <w:szCs w:val="28"/>
          <w:lang w:bidi="ru-RU"/>
        </w:rPr>
      </w:pPr>
      <w:bookmarkStart w:id="4" w:name="_Hlk168100921"/>
      <w:r w:rsidRPr="000A0E65">
        <w:rPr>
          <w:sz w:val="28"/>
          <w:szCs w:val="28"/>
          <w:lang w:bidi="ru-RU"/>
        </w:rPr>
        <w:t>С целью увеличения пропускной способности контейнерного терминала, ООО «Магистраль-ДВ» закончило проектирование и приступило к строительству путей необщего пользования, общая длина путей увеличится более чем на два километра.</w:t>
      </w:r>
    </w:p>
    <w:p w14:paraId="6A7433A4" w14:textId="77777777" w:rsidR="000A0E65" w:rsidRPr="000A0E65" w:rsidRDefault="000A0E65" w:rsidP="000A0E65">
      <w:pPr>
        <w:pStyle w:val="aff"/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sz w:val="28"/>
          <w:szCs w:val="28"/>
          <w:lang w:bidi="ru-RU"/>
        </w:rPr>
        <w:t>Предполагаемое зонирование территории.</w:t>
      </w:r>
    </w:p>
    <w:p w14:paraId="1EFD2F10" w14:textId="77777777" w:rsidR="000A0E65" w:rsidRDefault="000A0E65" w:rsidP="000A0E65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sz w:val="28"/>
          <w:szCs w:val="28"/>
          <w:lang w:bidi="ru-RU"/>
        </w:rPr>
        <w:t>Участок погрузочно-разгрузочных работ. Вдоль продлённых участков путей № 1 и 2 будет располагаться операционная площадка, которая будет представлять из себя территорию с железобетонным покрытием, с несущей способностью, позволяющей складирование крупнотоннажных контейнеров в несколько ярусов. Размеры участка: ширина на всю ширину существующей операционной площадки, длина - вдоль прямолинейною участка пути до начала кривых.</w:t>
      </w:r>
    </w:p>
    <w:p w14:paraId="3E1D864E" w14:textId="0AEDFD16" w:rsidR="000A0E65" w:rsidRPr="000A0E65" w:rsidRDefault="000A0E65" w:rsidP="000A0E65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 w:rsidRPr="000A0E65">
        <w:rPr>
          <w:rFonts w:cs="Times New Roman"/>
          <w:sz w:val="28"/>
          <w:szCs w:val="28"/>
          <w:lang w:bidi="ru-RU"/>
        </w:rPr>
        <w:t xml:space="preserve">Ремонтный тупик. Участок железнодорожного пути вдоль улицы Кронштадтская до ул. Артёмовская. Технология отцепочного ремонта предусматривает складирование вдоль железнодорожного пути необходимых запасных частей подвижного состава: колёсные пары, боковины рамы тележек, автосцепки и т.п. Все указанные детали имею большие габариты и вес. Вдоль всего протяжения ремонтного тупика должна быть обеспечена </w:t>
      </w:r>
      <w:r w:rsidRPr="000A0E65">
        <w:rPr>
          <w:rFonts w:cs="Times New Roman"/>
          <w:sz w:val="28"/>
          <w:szCs w:val="28"/>
          <w:lang w:bidi="ru-RU"/>
        </w:rPr>
        <w:lastRenderedPageBreak/>
        <w:t>возможность передвижения грузоподъёмного механизма (кран, погрузчик). Таким образом вся площадка по ул. Кронштадтская будет использована под обеспечение ремонтного тупика.</w:t>
      </w:r>
    </w:p>
    <w:p w14:paraId="2E59494D" w14:textId="6CF05542" w:rsidR="000A0E65" w:rsidRDefault="000A0E65" w:rsidP="00153AE8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Стоки длительного хранения контейнеров. Оставшиеся свободные площадки будут использованы для контейнерных стоков.</w:t>
      </w:r>
    </w:p>
    <w:p w14:paraId="4C7A2C17" w14:textId="20441A76" w:rsidR="00092CF2" w:rsidRDefault="00092CF2" w:rsidP="00153AE8">
      <w:pPr>
        <w:pStyle w:val="aff"/>
        <w:numPr>
          <w:ilvl w:val="0"/>
          <w:numId w:val="35"/>
        </w:numPr>
        <w:spacing w:line="276" w:lineRule="auto"/>
        <w:ind w:left="0" w:righ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Стоянка автомобилей. Для стоянки сотрудников и приезжающих фур для погрузки и дальнейшей транспортировки грузов.</w:t>
      </w:r>
    </w:p>
    <w:p w14:paraId="6FB7E426" w14:textId="2546856B" w:rsidR="00DF4293" w:rsidRDefault="00DF4293" w:rsidP="00DF4293">
      <w:pPr>
        <w:pStyle w:val="aff"/>
        <w:spacing w:line="276" w:lineRule="auto"/>
        <w:ind w:left="0" w:right="0" w:firstLine="851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Территория поделена на 2 этапа освоения. </w:t>
      </w:r>
      <w:r w:rsidRPr="00DF4293">
        <w:rPr>
          <w:sz w:val="28"/>
          <w:szCs w:val="28"/>
          <w:lang w:bidi="ru-RU"/>
        </w:rPr>
        <w:t>Реализация 2 этапа будет осуществлена после завершения первого этапа межевания путем последующего внесения изменений в указанную документацию по планировке территории в части образования земельных участков.</w:t>
      </w:r>
    </w:p>
    <w:p w14:paraId="5210E364" w14:textId="77777777" w:rsidR="00153AE8" w:rsidRDefault="00153AE8" w:rsidP="00153AE8">
      <w:pPr>
        <w:pStyle w:val="aff"/>
        <w:spacing w:line="276" w:lineRule="auto"/>
        <w:ind w:right="0"/>
        <w:rPr>
          <w:sz w:val="28"/>
          <w:szCs w:val="28"/>
          <w:lang w:bidi="ru-RU"/>
        </w:rPr>
      </w:pPr>
    </w:p>
    <w:p w14:paraId="3C8C8BB6" w14:textId="77777777" w:rsidR="00BB5584" w:rsidRDefault="00BB5584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5" w:name="_Toc70002839"/>
      <w:bookmarkEnd w:id="4"/>
      <w:r>
        <w:rPr>
          <w:rFonts w:ascii="Times New Roman" w:hAnsi="Times New Roman" w:cs="Times New Roman"/>
          <w:color w:val="auto"/>
        </w:rPr>
        <w:t>2</w:t>
      </w:r>
      <w:r w:rsidRPr="00926FE4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5"/>
    </w:p>
    <w:p w14:paraId="5622869A" w14:textId="77777777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Расположение зоны планируемого размещения планируемого линейного объекта в структуре субъектов Российской Федерации:</w:t>
      </w:r>
    </w:p>
    <w:p w14:paraId="05929CEA" w14:textId="4F26A5FF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B5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субъект Российской Федерации – </w:t>
      </w:r>
      <w:r w:rsidR="00FB5486">
        <w:rPr>
          <w:color w:val="000000" w:themeColor="text1"/>
          <w:sz w:val="28"/>
          <w:szCs w:val="28"/>
        </w:rPr>
        <w:t>Приморский край</w:t>
      </w:r>
      <w:r>
        <w:rPr>
          <w:color w:val="000000" w:themeColor="text1"/>
          <w:sz w:val="28"/>
          <w:szCs w:val="28"/>
        </w:rPr>
        <w:t>;</w:t>
      </w:r>
    </w:p>
    <w:p w14:paraId="5A64AC12" w14:textId="7AB94470" w:rsidR="00FB5486" w:rsidRDefault="00FB5486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муниципальное образование - </w:t>
      </w:r>
      <w:r w:rsidRPr="00FB5486">
        <w:rPr>
          <w:color w:val="000000" w:themeColor="text1"/>
          <w:sz w:val="28"/>
          <w:szCs w:val="28"/>
        </w:rPr>
        <w:t>Арт</w:t>
      </w:r>
      <w:r>
        <w:rPr>
          <w:color w:val="000000" w:themeColor="text1"/>
          <w:sz w:val="28"/>
          <w:szCs w:val="28"/>
        </w:rPr>
        <w:t>е</w:t>
      </w:r>
      <w:r w:rsidRPr="00FB5486">
        <w:rPr>
          <w:color w:val="000000" w:themeColor="text1"/>
          <w:sz w:val="28"/>
          <w:szCs w:val="28"/>
        </w:rPr>
        <w:t>мовс</w:t>
      </w:r>
      <w:r>
        <w:rPr>
          <w:color w:val="000000" w:themeColor="text1"/>
          <w:sz w:val="28"/>
          <w:szCs w:val="28"/>
        </w:rPr>
        <w:t>кий</w:t>
      </w:r>
      <w:r w:rsidRPr="00FB5486">
        <w:rPr>
          <w:color w:val="000000" w:themeColor="text1"/>
          <w:sz w:val="28"/>
          <w:szCs w:val="28"/>
        </w:rPr>
        <w:t xml:space="preserve"> городско</w:t>
      </w:r>
      <w:r>
        <w:rPr>
          <w:color w:val="000000" w:themeColor="text1"/>
          <w:sz w:val="28"/>
          <w:szCs w:val="28"/>
        </w:rPr>
        <w:t>й</w:t>
      </w:r>
      <w:r w:rsidRPr="00FB5486">
        <w:rPr>
          <w:color w:val="000000" w:themeColor="text1"/>
          <w:sz w:val="28"/>
          <w:szCs w:val="28"/>
        </w:rPr>
        <w:t xml:space="preserve"> округ</w:t>
      </w:r>
      <w:r>
        <w:rPr>
          <w:color w:val="000000" w:themeColor="text1"/>
          <w:sz w:val="28"/>
          <w:szCs w:val="28"/>
        </w:rPr>
        <w:t>;</w:t>
      </w:r>
    </w:p>
    <w:p w14:paraId="6C884F01" w14:textId="5B0EC1A7" w:rsidR="00575413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B5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населенные пункты и (или) другие территории – город </w:t>
      </w:r>
      <w:r w:rsidR="00FB5486">
        <w:rPr>
          <w:color w:val="000000" w:themeColor="text1"/>
          <w:sz w:val="28"/>
          <w:szCs w:val="28"/>
        </w:rPr>
        <w:t>Артем</w:t>
      </w:r>
      <w:r>
        <w:rPr>
          <w:color w:val="000000" w:themeColor="text1"/>
          <w:sz w:val="28"/>
          <w:szCs w:val="28"/>
        </w:rPr>
        <w:t>.</w:t>
      </w:r>
    </w:p>
    <w:p w14:paraId="6999FAA0" w14:textId="77777777" w:rsidR="0079085F" w:rsidRPr="00317E7C" w:rsidRDefault="0079085F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4BD392" w14:textId="77777777" w:rsidR="009A137C" w:rsidRPr="00BB5584" w:rsidRDefault="00BB5584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6" w:name="_Toc70002840"/>
      <w:r w:rsidRPr="00BB5584">
        <w:rPr>
          <w:rFonts w:ascii="Times New Roman" w:hAnsi="Times New Roman" w:cs="Times New Roman"/>
          <w:color w:val="auto"/>
        </w:rPr>
        <w:t>3</w:t>
      </w:r>
      <w:r w:rsidR="009A137C" w:rsidRPr="00BB5584">
        <w:rPr>
          <w:rFonts w:ascii="Times New Roman" w:hAnsi="Times New Roman" w:cs="Times New Roman"/>
          <w:color w:val="auto"/>
        </w:rPr>
        <w:t>. Перечень координат характерных точек границ зон планируемого размещения линейных объектов</w:t>
      </w:r>
      <w:bookmarkEnd w:id="6"/>
    </w:p>
    <w:p w14:paraId="2C006BC5" w14:textId="77777777" w:rsidR="008E48C1" w:rsidRDefault="008E48C1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недвижимости.</w:t>
      </w:r>
    </w:p>
    <w:p w14:paraId="22F346EA" w14:textId="24CA3D53" w:rsidR="00D75253" w:rsidRDefault="00D75253">
      <w:pPr>
        <w:rPr>
          <w:sz w:val="28"/>
          <w:szCs w:val="28"/>
        </w:rPr>
      </w:pPr>
    </w:p>
    <w:p w14:paraId="27333557" w14:textId="5F38D940" w:rsidR="000E768C" w:rsidRPr="00422E7A" w:rsidRDefault="00E72EF1" w:rsidP="0079085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6A7347C2" w14:textId="3ED666BA" w:rsidR="00CA39CD" w:rsidRPr="0092511C" w:rsidRDefault="000E768C" w:rsidP="0079085F">
      <w:pPr>
        <w:spacing w:line="276" w:lineRule="auto"/>
        <w:ind w:firstLine="851"/>
        <w:jc w:val="center"/>
        <w:rPr>
          <w:sz w:val="28"/>
          <w:szCs w:val="28"/>
        </w:rPr>
        <w:sectPr w:rsidR="00CA39CD" w:rsidRPr="0092511C" w:rsidSect="00586A33"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87C24">
        <w:rPr>
          <w:sz w:val="28"/>
          <w:szCs w:val="28"/>
        </w:rPr>
        <w:t xml:space="preserve">Каталог координат </w:t>
      </w:r>
      <w:r w:rsidR="007902C1" w:rsidRPr="00A87C24">
        <w:rPr>
          <w:sz w:val="28"/>
          <w:szCs w:val="28"/>
        </w:rPr>
        <w:t>характерных</w:t>
      </w:r>
      <w:r w:rsidRPr="00A87C24">
        <w:rPr>
          <w:sz w:val="28"/>
          <w:szCs w:val="28"/>
        </w:rPr>
        <w:t xml:space="preserve"> точек красных линий</w:t>
      </w:r>
      <w:r w:rsidR="00975FA3">
        <w:rPr>
          <w:sz w:val="28"/>
          <w:szCs w:val="28"/>
        </w:rPr>
        <w:t xml:space="preserve"> в системе координат М</w:t>
      </w:r>
      <w:r w:rsidR="00927809">
        <w:rPr>
          <w:sz w:val="28"/>
          <w:szCs w:val="28"/>
        </w:rPr>
        <w:t>С</w:t>
      </w:r>
      <w:r w:rsidR="0092511C">
        <w:rPr>
          <w:sz w:val="28"/>
          <w:szCs w:val="28"/>
        </w:rPr>
        <w:t>К</w:t>
      </w:r>
      <w:r w:rsidR="00975FA3">
        <w:rPr>
          <w:sz w:val="28"/>
          <w:szCs w:val="28"/>
        </w:rPr>
        <w:t>-</w:t>
      </w:r>
      <w:r w:rsidR="00FB5486">
        <w:rPr>
          <w:sz w:val="28"/>
          <w:szCs w:val="28"/>
        </w:rPr>
        <w:t>25</w:t>
      </w:r>
    </w:p>
    <w:p w14:paraId="6394CB18" w14:textId="77777777" w:rsidR="00CA39CD" w:rsidRDefault="00CA39CD" w:rsidP="006B7A2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CA39CD" w:rsidSect="00CA39CD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1A6FD609" w14:textId="77777777" w:rsidR="00033E92" w:rsidRDefault="00033E92" w:rsidP="000636AD">
      <w:pPr>
        <w:widowControl/>
        <w:autoSpaceDE/>
        <w:autoSpaceDN/>
        <w:rPr>
          <w:color w:val="000000"/>
          <w:sz w:val="20"/>
          <w:szCs w:val="20"/>
          <w:lang w:bidi="ar-SA"/>
        </w:rPr>
        <w:sectPr w:rsidR="00033E92" w:rsidSect="00F77A4D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3680" w:type="dxa"/>
        <w:tblLook w:val="04A0" w:firstRow="1" w:lastRow="0" w:firstColumn="1" w:lastColumn="0" w:noHBand="0" w:noVBand="1"/>
      </w:tblPr>
      <w:tblGrid>
        <w:gridCol w:w="960"/>
        <w:gridCol w:w="1360"/>
        <w:gridCol w:w="1360"/>
      </w:tblGrid>
      <w:tr w:rsidR="00092CF2" w:rsidRPr="005134D0" w14:paraId="740043C5" w14:textId="77777777" w:rsidTr="00B77D6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4A3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BCE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876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092CF2" w:rsidRPr="005134D0" w14:paraId="454E61F0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4E7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0F9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5C6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092CF2" w:rsidRPr="005134D0" w14:paraId="47A587D2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1930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0F2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D2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1414827.38</w:t>
            </w:r>
          </w:p>
        </w:tc>
      </w:tr>
      <w:tr w:rsidR="00092CF2" w:rsidRPr="005134D0" w14:paraId="319B656E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749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6C0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385121.48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550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1414841.30</w:t>
            </w:r>
          </w:p>
        </w:tc>
      </w:tr>
      <w:tr w:rsidR="00092CF2" w:rsidRPr="005134D0" w14:paraId="64A6501C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EDC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5DA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46C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092CF2" w:rsidRPr="005134D0" w14:paraId="34C76573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29F2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8B4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1E5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092CF2" w:rsidRPr="005134D0" w14:paraId="51A7E1B8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A6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E45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17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092CF2" w:rsidRPr="005134D0" w14:paraId="058D6399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39D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AB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922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092CF2" w:rsidRPr="005134D0" w14:paraId="65C1E2FD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AAF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49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DD4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092CF2" w:rsidRPr="005134D0" w14:paraId="78A7EBF1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DDC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49E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71E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092CF2" w:rsidRPr="005134D0" w14:paraId="6DD8AC67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8C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0CA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0F2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092CF2" w:rsidRPr="005134D0" w14:paraId="3573ABA0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91D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0461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4B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092CF2" w:rsidRPr="005134D0" w14:paraId="667BBA71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85E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D50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49F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092CF2" w:rsidRPr="005134D0" w14:paraId="0E28891E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35C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7FE2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B8A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092CF2" w:rsidRPr="005134D0" w14:paraId="6C4D0128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F47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lastRenderedPageBreak/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64B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A60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092CF2" w:rsidRPr="005134D0" w14:paraId="12106689" w14:textId="77777777" w:rsidTr="00B77D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42C8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82F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1A1" w14:textId="77777777" w:rsidR="00092CF2" w:rsidRPr="005134D0" w:rsidRDefault="00092CF2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</w:tbl>
    <w:p w14:paraId="4F72D024" w14:textId="77777777" w:rsidR="00A3095E" w:rsidRPr="00422E7A" w:rsidRDefault="00A3095E" w:rsidP="00422E7A">
      <w:pPr>
        <w:rPr>
          <w:color w:val="000000"/>
          <w:sz w:val="28"/>
          <w:szCs w:val="28"/>
        </w:rPr>
        <w:sectPr w:rsidR="00A3095E" w:rsidRPr="00422E7A" w:rsidSect="00033E92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7B92F793" w14:textId="77777777" w:rsidR="0079085F" w:rsidRDefault="0079085F" w:rsidP="00996900">
      <w:pPr>
        <w:jc w:val="right"/>
        <w:rPr>
          <w:sz w:val="28"/>
          <w:szCs w:val="28"/>
        </w:rPr>
      </w:pPr>
    </w:p>
    <w:p w14:paraId="1D897FED" w14:textId="77777777" w:rsidR="00153AE8" w:rsidRDefault="00153A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F387F7" w14:textId="22226BAD" w:rsidR="00033E92" w:rsidRPr="00422E7A" w:rsidRDefault="00033E92" w:rsidP="00996900">
      <w:pPr>
        <w:jc w:val="right"/>
        <w:rPr>
          <w:sz w:val="28"/>
          <w:szCs w:val="28"/>
        </w:rPr>
      </w:pPr>
      <w:r w:rsidRPr="00422E7A">
        <w:rPr>
          <w:sz w:val="28"/>
          <w:szCs w:val="28"/>
        </w:rPr>
        <w:lastRenderedPageBreak/>
        <w:t xml:space="preserve">Таблица № </w:t>
      </w:r>
      <w:r w:rsidR="00E72EF1">
        <w:rPr>
          <w:sz w:val="28"/>
          <w:szCs w:val="28"/>
        </w:rPr>
        <w:t>3</w:t>
      </w:r>
    </w:p>
    <w:p w14:paraId="4B6B187A" w14:textId="7D9F53AB" w:rsidR="00D510F4" w:rsidRPr="00FB5486" w:rsidRDefault="00AE361C" w:rsidP="00FB5486">
      <w:pPr>
        <w:spacing w:line="276" w:lineRule="auto"/>
        <w:ind w:firstLine="851"/>
        <w:jc w:val="center"/>
        <w:rPr>
          <w:rFonts w:eastAsiaTheme="majorEastAsia"/>
          <w:sz w:val="28"/>
          <w:szCs w:val="28"/>
        </w:rPr>
        <w:sectPr w:rsidR="00D510F4" w:rsidRPr="00FB5486" w:rsidSect="00033E9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E361C">
        <w:rPr>
          <w:sz w:val="28"/>
          <w:szCs w:val="28"/>
        </w:rPr>
        <w:t>Каталог координат характерных точек границ зон планируем</w:t>
      </w:r>
      <w:r w:rsidR="00315DB0">
        <w:rPr>
          <w:sz w:val="28"/>
          <w:szCs w:val="28"/>
        </w:rPr>
        <w:t>ого размещения линейного объекта</w:t>
      </w:r>
      <w:r w:rsidR="00B33E36" w:rsidRPr="00B33E36">
        <w:t xml:space="preserve"> </w:t>
      </w:r>
      <w:r w:rsidR="00B33E36" w:rsidRPr="00B33E36">
        <w:rPr>
          <w:sz w:val="28"/>
          <w:szCs w:val="28"/>
        </w:rPr>
        <w:t>для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 w:rsidR="00960BDB">
        <w:rPr>
          <w:rFonts w:eastAsiaTheme="majorEastAsia"/>
          <w:sz w:val="28"/>
          <w:szCs w:val="28"/>
        </w:rPr>
        <w:t xml:space="preserve"> </w:t>
      </w:r>
      <w:r w:rsidR="00960BDB">
        <w:rPr>
          <w:sz w:val="28"/>
          <w:szCs w:val="28"/>
        </w:rPr>
        <w:t xml:space="preserve">в </w:t>
      </w:r>
      <w:r w:rsidR="00975FA3">
        <w:rPr>
          <w:sz w:val="28"/>
          <w:szCs w:val="28"/>
        </w:rPr>
        <w:t xml:space="preserve">системе координат </w:t>
      </w:r>
      <w:r w:rsidR="0092511C">
        <w:rPr>
          <w:sz w:val="28"/>
          <w:szCs w:val="28"/>
        </w:rPr>
        <w:t>МСК-</w:t>
      </w:r>
      <w:r w:rsidR="00FB5486">
        <w:rPr>
          <w:sz w:val="28"/>
          <w:szCs w:val="28"/>
        </w:rPr>
        <w:t>25</w:t>
      </w: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FF70B3" w:rsidRPr="00FF70B3" w14:paraId="1652800E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58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86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2A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FF70B3" w:rsidRPr="00FF70B3" w14:paraId="407B5A57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E5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35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385409.22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1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1414843.06</w:t>
            </w:r>
          </w:p>
        </w:tc>
      </w:tr>
      <w:tr w:rsidR="00FF70B3" w:rsidRPr="00FF70B3" w14:paraId="6DABDF4E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CC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71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385419.76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21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1414832.39</w:t>
            </w:r>
          </w:p>
        </w:tc>
      </w:tr>
      <w:tr w:rsidR="00FF70B3" w:rsidRPr="00FF70B3" w14:paraId="61F28C83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7F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67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385367.41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E6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1414780.49</w:t>
            </w:r>
          </w:p>
        </w:tc>
      </w:tr>
      <w:tr w:rsidR="00FF70B3" w:rsidRPr="00FF70B3" w14:paraId="7B9014A7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A9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78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385277.70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C4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1414717.32</w:t>
            </w:r>
          </w:p>
        </w:tc>
      </w:tr>
      <w:tr w:rsidR="00FF70B3" w:rsidRPr="00FF70B3" w14:paraId="584EA1C8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FF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95F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385258.12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96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1414696.34</w:t>
            </w:r>
          </w:p>
        </w:tc>
      </w:tr>
      <w:tr w:rsidR="00FF70B3" w:rsidRPr="00FF70B3" w14:paraId="2CF6D091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CD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A1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385233.08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FB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1414722.91</w:t>
            </w:r>
          </w:p>
        </w:tc>
      </w:tr>
      <w:tr w:rsidR="00FF70B3" w:rsidRPr="00FF70B3" w14:paraId="2C34ADAF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70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4E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385259.17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83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1414747.48</w:t>
            </w:r>
          </w:p>
        </w:tc>
      </w:tr>
      <w:tr w:rsidR="00FF70B3" w:rsidRPr="00FF70B3" w14:paraId="355411E5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C0A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80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385274.29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D7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1414760.47</w:t>
            </w:r>
          </w:p>
        </w:tc>
      </w:tr>
      <w:tr w:rsidR="00FF70B3" w:rsidRPr="00FF70B3" w14:paraId="2337B660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B7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DDB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385290.52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AE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1414772.04</w:t>
            </w:r>
          </w:p>
        </w:tc>
      </w:tr>
      <w:tr w:rsidR="00FF70B3" w:rsidRPr="00FF70B3" w14:paraId="625EC544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78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14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385307.73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D8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1414782.09</w:t>
            </w:r>
          </w:p>
        </w:tc>
      </w:tr>
      <w:tr w:rsidR="00FF70B3" w:rsidRPr="00FF70B3" w14:paraId="03552B1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0A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6C6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385325.78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C93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1414790.55</w:t>
            </w:r>
          </w:p>
        </w:tc>
      </w:tr>
      <w:tr w:rsidR="00FF70B3" w:rsidRPr="00FF70B3" w14:paraId="7C061BBF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D4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E55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385341.02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A6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1414796.76</w:t>
            </w:r>
          </w:p>
        </w:tc>
      </w:tr>
      <w:tr w:rsidR="00FF70B3" w:rsidRPr="00FF70B3" w14:paraId="0B080A3C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66D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6C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385363.22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617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FF70B3" w:rsidRPr="00FF70B3" w14:paraId="7135B87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2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CBC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385375.29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39F9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1414815.98</w:t>
            </w:r>
          </w:p>
        </w:tc>
      </w:tr>
      <w:tr w:rsidR="00FF70B3" w:rsidRPr="00FF70B3" w14:paraId="003366C2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3B46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82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385386.77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F0E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1414824.03</w:t>
            </w:r>
          </w:p>
        </w:tc>
      </w:tr>
      <w:tr w:rsidR="00FF70B3" w:rsidRPr="00FF70B3" w14:paraId="2E30EDDB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C92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A71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385398.78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B44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1414833.14</w:t>
            </w:r>
          </w:p>
        </w:tc>
      </w:tr>
      <w:tr w:rsidR="00FF70B3" w:rsidRPr="00FF70B3" w14:paraId="7F93B89D" w14:textId="77777777" w:rsidTr="00FF70B3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AF58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310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385409.22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D3AF" w14:textId="77777777" w:rsidR="00FF70B3" w:rsidRPr="00FF70B3" w:rsidRDefault="00FF70B3" w:rsidP="00FF70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F70B3">
              <w:rPr>
                <w:color w:val="000000"/>
                <w:sz w:val="24"/>
                <w:szCs w:val="24"/>
                <w:lang w:bidi="ar-SA"/>
              </w:rPr>
              <w:t>1414843.06</w:t>
            </w:r>
          </w:p>
        </w:tc>
      </w:tr>
    </w:tbl>
    <w:p w14:paraId="425C1E2A" w14:textId="77777777" w:rsidR="00D510F4" w:rsidRDefault="00D510F4" w:rsidP="00F77A4D">
      <w:pPr>
        <w:spacing w:line="276" w:lineRule="auto"/>
        <w:ind w:firstLine="851"/>
        <w:rPr>
          <w:rFonts w:eastAsiaTheme="majorEastAsia"/>
          <w:sz w:val="28"/>
          <w:szCs w:val="28"/>
        </w:rPr>
        <w:sectPr w:rsidR="00D510F4" w:rsidSect="00D510F4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2E6AE333" w14:textId="77777777" w:rsidR="00B33E36" w:rsidRDefault="00B33E36" w:rsidP="00B33E36">
      <w:pPr>
        <w:jc w:val="right"/>
        <w:rPr>
          <w:sz w:val="28"/>
          <w:szCs w:val="28"/>
        </w:rPr>
      </w:pPr>
      <w:bookmarkStart w:id="7" w:name="_Toc70002841"/>
    </w:p>
    <w:p w14:paraId="37E9E978" w14:textId="32E3DE6B" w:rsidR="00B33E36" w:rsidRPr="00422E7A" w:rsidRDefault="00B33E36" w:rsidP="00B33E36">
      <w:pPr>
        <w:jc w:val="right"/>
        <w:rPr>
          <w:sz w:val="28"/>
          <w:szCs w:val="28"/>
        </w:rPr>
      </w:pPr>
      <w:r w:rsidRPr="00422E7A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4</w:t>
      </w:r>
    </w:p>
    <w:p w14:paraId="23AE7EA1" w14:textId="1A250653" w:rsidR="00B33E36" w:rsidRPr="00FB5486" w:rsidRDefault="00B33E36" w:rsidP="00B33E36">
      <w:pPr>
        <w:spacing w:line="276" w:lineRule="auto"/>
        <w:ind w:firstLine="851"/>
        <w:jc w:val="center"/>
        <w:rPr>
          <w:rFonts w:eastAsiaTheme="majorEastAsia"/>
          <w:sz w:val="28"/>
          <w:szCs w:val="28"/>
        </w:rPr>
        <w:sectPr w:rsidR="00B33E36" w:rsidRPr="00FB5486" w:rsidSect="00033E9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  <w:r w:rsidRPr="00AE361C">
        <w:rPr>
          <w:sz w:val="28"/>
          <w:szCs w:val="28"/>
        </w:rPr>
        <w:t>Каталог координат характерных точек границ зон планируем</w:t>
      </w:r>
      <w:r>
        <w:rPr>
          <w:sz w:val="28"/>
          <w:szCs w:val="28"/>
        </w:rPr>
        <w:t xml:space="preserve">ого размещения линейного объекта </w:t>
      </w:r>
      <w:r w:rsidRPr="00B33E36">
        <w:rPr>
          <w:sz w:val="28"/>
          <w:szCs w:val="28"/>
        </w:rPr>
        <w:t>улично-дорожная сеть</w:t>
      </w:r>
      <w:r>
        <w:rPr>
          <w:rFonts w:eastAsiaTheme="majorEastAsia"/>
          <w:sz w:val="28"/>
          <w:szCs w:val="28"/>
        </w:rPr>
        <w:t xml:space="preserve"> </w:t>
      </w:r>
      <w:r>
        <w:rPr>
          <w:sz w:val="28"/>
          <w:szCs w:val="28"/>
        </w:rPr>
        <w:t>в системе координат МСК-25</w:t>
      </w:r>
    </w:p>
    <w:tbl>
      <w:tblPr>
        <w:tblW w:w="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60"/>
        <w:gridCol w:w="1360"/>
      </w:tblGrid>
      <w:tr w:rsidR="009E4D3E" w:rsidRPr="005134D0" w14:paraId="1B80E7F1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6DF70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1695B7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7A7900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9E4D3E" w:rsidRPr="005134D0" w14:paraId="028F81D8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ED474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39400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5B31B9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9E4D3E" w:rsidRPr="005134D0" w14:paraId="3F547036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4E3B4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505EFC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385143.93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58DE48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1414827.38</w:t>
            </w:r>
          </w:p>
        </w:tc>
      </w:tr>
      <w:tr w:rsidR="009E4D3E" w:rsidRPr="005134D0" w14:paraId="1D03AF46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18B6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2EBD3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385121.48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E1D16E1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1414841.30</w:t>
            </w:r>
          </w:p>
        </w:tc>
      </w:tr>
      <w:tr w:rsidR="009E4D3E" w:rsidRPr="005134D0" w14:paraId="4F44EFAF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7DBBC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6583D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7F2F42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9E4D3E" w:rsidRPr="005134D0" w14:paraId="4D017C5A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BFE51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4838ED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BCAB38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9E4D3E" w:rsidRPr="005134D0" w14:paraId="75AD4491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C6FF2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2F7C4A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C019D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9E4D3E" w:rsidRPr="005134D0" w14:paraId="45C4C867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26A2CD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407168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4B81F1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9E4D3E" w:rsidRPr="005134D0" w14:paraId="4173554D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8E6B2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C6F4E2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AD611D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9E4D3E" w:rsidRPr="005134D0" w14:paraId="1ABD2329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C348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398ED4D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D461EB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9E4D3E" w:rsidRPr="005134D0" w14:paraId="481EA4E2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FAAB94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95407D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D7FD57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9E4D3E" w:rsidRPr="005134D0" w14:paraId="313EE2F1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A8475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C6D61E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10DEC4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9E4D3E" w:rsidRPr="005134D0" w14:paraId="67F192DD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4F3F1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5F4DD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39795B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9E4D3E" w:rsidRPr="005134D0" w14:paraId="48C45008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9C1D66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20A839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E2683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9E4D3E" w:rsidRPr="005134D0" w14:paraId="22AE1A0B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F252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7808E93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9EA7598" w14:textId="77777777" w:rsidR="009E4D3E" w:rsidRPr="005134D0" w:rsidRDefault="009E4D3E" w:rsidP="00B77D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  <w:tr w:rsidR="009E4D3E" w:rsidRPr="005134D0" w14:paraId="1790C187" w14:textId="77777777" w:rsidTr="009E4D3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66D7681" w14:textId="789AE90B" w:rsidR="009E4D3E" w:rsidRPr="005134D0" w:rsidRDefault="009E4D3E" w:rsidP="009E4D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067FE18" w14:textId="69EB3AC9" w:rsidR="009E4D3E" w:rsidRPr="005134D0" w:rsidRDefault="009E4D3E" w:rsidP="009E4D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08BA048" w14:textId="003B3187" w:rsidR="009E4D3E" w:rsidRPr="005134D0" w:rsidRDefault="009E4D3E" w:rsidP="009E4D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</w:tbl>
    <w:p w14:paraId="0FB0CF38" w14:textId="77777777" w:rsidR="00B33E36" w:rsidRDefault="00B33E36" w:rsidP="0079085F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  <w:sectPr w:rsidR="00B33E36" w:rsidSect="00B33E36">
          <w:type w:val="continuous"/>
          <w:pgSz w:w="11910" w:h="16840"/>
          <w:pgMar w:top="1134" w:right="850" w:bottom="1134" w:left="1701" w:header="749" w:footer="0" w:gutter="0"/>
          <w:cols w:num="2" w:space="720"/>
          <w:docGrid w:linePitch="299"/>
        </w:sectPr>
      </w:pPr>
    </w:p>
    <w:p w14:paraId="451D2231" w14:textId="1E8EEED6" w:rsidR="009A137C" w:rsidRDefault="009A137C" w:rsidP="00B33E36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BB5584">
        <w:rPr>
          <w:rFonts w:ascii="Times New Roman" w:hAnsi="Times New Roman" w:cs="Times New Roman"/>
          <w:color w:val="auto"/>
        </w:rPr>
        <w:t xml:space="preserve">4. </w:t>
      </w:r>
      <w:r w:rsidRPr="00BB5584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BB5584">
        <w:rPr>
          <w:rFonts w:ascii="Times New Roman" w:hAnsi="Times New Roman" w:cs="Times New Roman"/>
          <w:color w:val="auto"/>
        </w:rPr>
        <w:t xml:space="preserve">, подлежащих </w:t>
      </w:r>
      <w:r w:rsidR="00AE361C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7"/>
    </w:p>
    <w:p w14:paraId="09B59622" w14:textId="77777777" w:rsidR="00F54C68" w:rsidRDefault="00837225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проекта планировки территории отсутствуют линейные объекты, подлежащие реконструкции в связи с изменением их местоположения.</w:t>
      </w:r>
    </w:p>
    <w:p w14:paraId="164D5226" w14:textId="77777777" w:rsidR="006B7A2C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14:paraId="2F552D55" w14:textId="77777777" w:rsidR="00677D30" w:rsidRPr="00BB5584" w:rsidRDefault="00677D30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BB5584">
        <w:rPr>
          <w:rFonts w:ascii="Times New Roman" w:hAnsi="Times New Roman" w:cs="Times New Roman"/>
          <w:color w:val="auto"/>
        </w:rPr>
        <w:t xml:space="preserve">5. </w:t>
      </w:r>
      <w:bookmarkStart w:id="8" w:name="_Toc70002842"/>
      <w:r w:rsidRPr="00BB5584">
        <w:rPr>
          <w:rFonts w:ascii="Times New Roman" w:hAnsi="Times New Roman" w:cs="Times New Roman"/>
          <w:color w:val="auto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8"/>
    </w:p>
    <w:p w14:paraId="71B8F230" w14:textId="41C45D5F" w:rsidR="00837225" w:rsidRPr="00837225" w:rsidRDefault="00837225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37225">
        <w:rPr>
          <w:color w:val="000000" w:themeColor="text1"/>
          <w:sz w:val="28"/>
          <w:szCs w:val="28"/>
        </w:rPr>
        <w:t>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территориальным зонам, приняты в Правилах землепользования и застройки.</w:t>
      </w:r>
    </w:p>
    <w:p w14:paraId="5F30133F" w14:textId="35A77FAB" w:rsidR="00215DD8" w:rsidRDefault="00837225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37225">
        <w:rPr>
          <w:color w:val="000000" w:themeColor="text1"/>
          <w:sz w:val="28"/>
          <w:szCs w:val="28"/>
        </w:rPr>
        <w:lastRenderedPageBreak/>
        <w:t>В соответствии с ч. 4 ст. 36 Градостроительного Кодекса РФ действие градостроительного регламента не распространяется на земельные участки, предназначенные для размещения линейных объектов.</w:t>
      </w:r>
    </w:p>
    <w:p w14:paraId="36031696" w14:textId="77777777" w:rsidR="00130476" w:rsidRPr="008132AE" w:rsidRDefault="00130476" w:rsidP="00130476">
      <w:pPr>
        <w:widowControl/>
        <w:tabs>
          <w:tab w:val="right" w:pos="9921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x-none" w:bidi="ar-SA"/>
        </w:rPr>
      </w:pPr>
      <w:r w:rsidRPr="008132AE">
        <w:rPr>
          <w:sz w:val="28"/>
          <w:szCs w:val="28"/>
          <w:lang w:eastAsia="x-none" w:bidi="ar-SA"/>
        </w:rPr>
        <w:t>В</w:t>
      </w:r>
      <w:r w:rsidRPr="008132AE">
        <w:rPr>
          <w:sz w:val="28"/>
          <w:szCs w:val="28"/>
          <w:lang w:val="x-none" w:eastAsia="x-none" w:bidi="ar-SA"/>
        </w:rPr>
        <w:t xml:space="preserve"> границах </w:t>
      </w:r>
      <w:r w:rsidRPr="008132AE">
        <w:rPr>
          <w:sz w:val="28"/>
          <w:szCs w:val="28"/>
          <w:lang w:eastAsia="x-none" w:bidi="ar-SA"/>
        </w:rPr>
        <w:t xml:space="preserve">образуемого </w:t>
      </w:r>
      <w:r w:rsidRPr="008132AE">
        <w:rPr>
          <w:sz w:val="28"/>
          <w:szCs w:val="28"/>
          <w:lang w:val="x-none" w:eastAsia="x-none" w:bidi="ar-SA"/>
        </w:rPr>
        <w:t>земельн</w:t>
      </w:r>
      <w:r w:rsidRPr="008132AE">
        <w:rPr>
          <w:sz w:val="28"/>
          <w:szCs w:val="28"/>
          <w:lang w:eastAsia="x-none" w:bidi="ar-SA"/>
        </w:rPr>
        <w:t>ого</w:t>
      </w:r>
      <w:r w:rsidRPr="008132AE">
        <w:rPr>
          <w:sz w:val="28"/>
          <w:szCs w:val="28"/>
          <w:lang w:val="x-none" w:eastAsia="x-none" w:bidi="ar-SA"/>
        </w:rPr>
        <w:t xml:space="preserve"> участк</w:t>
      </w:r>
      <w:r w:rsidRPr="008132AE">
        <w:rPr>
          <w:sz w:val="28"/>
          <w:szCs w:val="28"/>
          <w:lang w:eastAsia="x-none" w:bidi="ar-SA"/>
        </w:rPr>
        <w:t xml:space="preserve">а планируется размещение линейного объекта. </w:t>
      </w:r>
      <w:r w:rsidRPr="008132AE">
        <w:rPr>
          <w:sz w:val="28"/>
          <w:szCs w:val="28"/>
        </w:rPr>
        <w:t xml:space="preserve">Согласно п. 7 ст. 11.9 ЗК РФ допускается </w:t>
      </w:r>
      <w:r w:rsidRPr="008132AE">
        <w:rPr>
          <w:color w:val="000000"/>
          <w:sz w:val="28"/>
          <w:szCs w:val="28"/>
          <w:shd w:val="clear" w:color="auto" w:fill="FFFFFF"/>
        </w:rPr>
        <w:t>образование земельного участка, границы которого пересекают границы территориальных зон, в целях осуществления строительства, реконструкции, эксплуатации линейных объектов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5D98CFF" w14:textId="77777777" w:rsidR="00130476" w:rsidRDefault="00130476" w:rsidP="0079085F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25F42CF" w14:textId="77777777" w:rsidR="00837225" w:rsidRPr="0035683C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B92E0C2" w14:textId="77777777" w:rsidR="00675316" w:rsidRPr="00790080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9" w:name="_Toc70002843"/>
      <w:r w:rsidRPr="00790080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9"/>
    </w:p>
    <w:p w14:paraId="3CC538FC" w14:textId="77777777" w:rsidR="00E434C9" w:rsidRP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 целях зашиты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14:paraId="7527F276" w14:textId="603FA33F" w:rsid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На территории под</w:t>
      </w:r>
      <w:r>
        <w:rPr>
          <w:sz w:val="28"/>
          <w:szCs w:val="28"/>
        </w:rPr>
        <w:t xml:space="preserve"> строительство</w:t>
      </w:r>
      <w:r w:rsidRPr="00E434C9">
        <w:rPr>
          <w:sz w:val="28"/>
          <w:szCs w:val="28"/>
        </w:rPr>
        <w:t xml:space="preserve"> линейного объекта </w:t>
      </w:r>
      <w:r w:rsidR="004515D1" w:rsidRPr="004515D1">
        <w:rPr>
          <w:sz w:val="28"/>
          <w:szCs w:val="28"/>
        </w:rPr>
        <w:t>для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 w:rsidRPr="00E434C9">
        <w:rPr>
          <w:sz w:val="28"/>
          <w:szCs w:val="28"/>
        </w:rPr>
        <w:t xml:space="preserve"> не предполагается использование, производство, переработка, хранение или уничтожени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>, аварийно-</w:t>
      </w:r>
      <w:r w:rsidRPr="00E434C9">
        <w:rPr>
          <w:sz w:val="28"/>
          <w:szCs w:val="28"/>
        </w:rPr>
        <w:t>химически опасных, биологических и радиоактивных веществ и материалов.</w:t>
      </w:r>
    </w:p>
    <w:p w14:paraId="188D8DAF" w14:textId="77777777" w:rsidR="00ED3043" w:rsidRPr="002E094E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с особыми условиями использования территории</w:t>
      </w:r>
      <w:r w:rsidR="00ED3043" w:rsidRPr="002E094E">
        <w:rPr>
          <w:sz w:val="28"/>
          <w:szCs w:val="28"/>
        </w:rPr>
        <w:t xml:space="preserve"> приняты в соответствии:</w:t>
      </w:r>
    </w:p>
    <w:p w14:paraId="09812CF2" w14:textId="77777777" w:rsidR="00ED3043" w:rsidRDefault="00ED3043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- Постановление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3073C66F" w14:textId="77777777" w:rsidR="000A622F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другие н</w:t>
      </w:r>
      <w:r w:rsidRPr="000A622F">
        <w:rPr>
          <w:sz w:val="28"/>
          <w:szCs w:val="28"/>
        </w:rPr>
        <w:t>ормативно-правов</w:t>
      </w:r>
      <w:r>
        <w:rPr>
          <w:sz w:val="28"/>
          <w:szCs w:val="28"/>
        </w:rPr>
        <w:t>ые</w:t>
      </w:r>
      <w:r w:rsidRPr="000A622F">
        <w:rPr>
          <w:sz w:val="28"/>
          <w:szCs w:val="28"/>
        </w:rPr>
        <w:t xml:space="preserve"> акт</w:t>
      </w:r>
      <w:r>
        <w:rPr>
          <w:sz w:val="28"/>
          <w:szCs w:val="28"/>
        </w:rPr>
        <w:t>ы и</w:t>
      </w:r>
      <w:r w:rsidRPr="000A622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ы.</w:t>
      </w:r>
    </w:p>
    <w:p w14:paraId="64905DB9" w14:textId="77777777" w:rsidR="00B61BB8" w:rsidRDefault="00B61BB8" w:rsidP="0079085F">
      <w:pPr>
        <w:spacing w:line="276" w:lineRule="auto"/>
        <w:jc w:val="both"/>
        <w:rPr>
          <w:sz w:val="28"/>
          <w:szCs w:val="28"/>
        </w:rPr>
      </w:pPr>
    </w:p>
    <w:p w14:paraId="11687467" w14:textId="77777777" w:rsidR="00675316" w:rsidRPr="00790080" w:rsidRDefault="00790080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0" w:name="_Toc70002844"/>
      <w:r>
        <w:rPr>
          <w:rFonts w:ascii="Times New Roman" w:hAnsi="Times New Roman" w:cs="Times New Roman"/>
          <w:color w:val="auto"/>
        </w:rPr>
        <w:lastRenderedPageBreak/>
        <w:t xml:space="preserve">7. </w:t>
      </w:r>
      <w:r w:rsidR="00675316" w:rsidRPr="00790080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0"/>
    </w:p>
    <w:p w14:paraId="6F463FFF" w14:textId="77777777" w:rsidR="00852782" w:rsidRDefault="00790080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790080">
        <w:rPr>
          <w:sz w:val="28"/>
          <w:szCs w:val="28"/>
        </w:rPr>
        <w:t>На проектируемой территории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 и объекты, обладающие признаками объекта культурного наследия (в том числе археологического).</w:t>
      </w:r>
    </w:p>
    <w:p w14:paraId="75121CC2" w14:textId="77777777" w:rsidR="000636AD" w:rsidRDefault="000636AD" w:rsidP="0079085F">
      <w:pPr>
        <w:spacing w:line="276" w:lineRule="auto"/>
        <w:ind w:firstLine="851"/>
        <w:jc w:val="both"/>
        <w:rPr>
          <w:sz w:val="28"/>
          <w:szCs w:val="28"/>
        </w:rPr>
      </w:pPr>
    </w:p>
    <w:p w14:paraId="52E639E2" w14:textId="77777777" w:rsidR="00675316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1" w:name="_Toc70002845"/>
      <w:r w:rsidRPr="00790080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1"/>
    </w:p>
    <w:p w14:paraId="7F83AFB6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Раздел по охране окружающей среды содержит комплекс предложений по рациональному использованию природных ресурсов, качественные и количественные параметры снижения техногенной нагрузки на окружающую среду, технические решения по предупреждению негативного воздействия проектируемого объекта на окружающую природную среду.</w:t>
      </w:r>
    </w:p>
    <w:p w14:paraId="594BCC5E" w14:textId="37D7F78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 xml:space="preserve">При сооружении железнодорожного полотна необходимо предусматривать комплекс мероприятий </w:t>
      </w:r>
      <w:r w:rsidR="00130476" w:rsidRPr="004515D1">
        <w:rPr>
          <w:sz w:val="28"/>
          <w:szCs w:val="28"/>
        </w:rPr>
        <w:t>по охране,</w:t>
      </w:r>
      <w:r w:rsidRPr="004515D1">
        <w:rPr>
          <w:sz w:val="28"/>
          <w:szCs w:val="28"/>
        </w:rPr>
        <w:t xml:space="preserve"> окружающей воздушной, водной и наземной среды и обеспечению минимального изменения водно- теплового режима почв и горных пород, гравитационного и биохимического равновесия, а также защите животного и растительного мира. Должны быть разработаны также технические решения и мероприятия по предупреждению неуправляемого развития возникающих в процессе строительства линии геологических процессов и явлений, обеспечению их затухающего воздействия на окружающую среду и ликвидации их последствий. В проектах новых железных дорог всех категорий и в проектах подъездных путей должны быть разработаны технические решения и мероприятия по предупреждению и защите от опасных геологических и техногенных процессов, обеспечению защиты от их проявлений в ходе строительства и ликвидации последствий их воздействий на окружающую среду до сдачи линии в эксплуатацию. Эти мероприятия должны включать программу мониторинга с регламентацией натурных наблюдений на специально установленном оборудовании и контрольно-измерительной аппаратуре, за объектами, проектируемыми в сложных инженерно-геологических условиях на грунтах, свойства которых могут меняться во времени (в частности, на вечномерзлых, </w:t>
      </w:r>
      <w:proofErr w:type="spellStart"/>
      <w:r w:rsidRPr="004515D1">
        <w:rPr>
          <w:sz w:val="28"/>
          <w:szCs w:val="28"/>
        </w:rPr>
        <w:t>сильнольдистых</w:t>
      </w:r>
      <w:proofErr w:type="spellEnd"/>
      <w:r w:rsidRPr="004515D1">
        <w:rPr>
          <w:sz w:val="28"/>
          <w:szCs w:val="28"/>
        </w:rPr>
        <w:t xml:space="preserve"> грунтах), с прогнозированием изменений уровня надежности, эксплуатационной и экологической безопасности. Мероприятия по охране окружающей среды в проектно-сметной </w:t>
      </w:r>
      <w:r w:rsidRPr="004515D1">
        <w:rPr>
          <w:sz w:val="28"/>
          <w:szCs w:val="28"/>
        </w:rPr>
        <w:lastRenderedPageBreak/>
        <w:t>документации должны быть выделены в самостоятельный раздел.</w:t>
      </w:r>
    </w:p>
    <w:p w14:paraId="4BEC2610" w14:textId="1D34D58A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 xml:space="preserve">В период </w:t>
      </w:r>
      <w:r w:rsidR="001E34F8">
        <w:rPr>
          <w:sz w:val="28"/>
          <w:szCs w:val="28"/>
        </w:rPr>
        <w:t>реконструкции</w:t>
      </w:r>
      <w:r w:rsidRPr="004515D1">
        <w:rPr>
          <w:sz w:val="28"/>
          <w:szCs w:val="28"/>
        </w:rPr>
        <w:t xml:space="preserve"> и эксплуатации проектируемого линейного объекта необходимо вести мониторинг окружающей среды по основным компонентам (атмосферный воздух, физические факторы воздействия (шум), подземные воды, почвы).</w:t>
      </w:r>
    </w:p>
    <w:p w14:paraId="3D7D0D94" w14:textId="77777777" w:rsidR="004515D1" w:rsidRP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Одна из главных экологических проблем железнодорожного транспорта — борьба с шумом.  Основным источником   шума   на   железной   дороге является контакт движущегося подвижного состава с рельсами. Снижение шума достигается за счет укладки бесстыкового пути, устранение износа рельсов, укладка стрелочных переводов с непрерывной поверхностью катания.</w:t>
      </w:r>
    </w:p>
    <w:p w14:paraId="380B53F8" w14:textId="746B261A" w:rsidR="00E434C9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  <w:r w:rsidRPr="004515D1">
        <w:rPr>
          <w:sz w:val="28"/>
          <w:szCs w:val="28"/>
        </w:rPr>
        <w:t>В соответствие с требованиями Федерального Закона от 10.01.2002 г. NT-ФЗ «Об охране окружающей среды», природопользователи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иных наилучших существующих технологий.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среды, природопользователи обязаны организовать производственный экономический контроль (ПЭК).</w:t>
      </w:r>
    </w:p>
    <w:p w14:paraId="4DA1A7A9" w14:textId="77777777" w:rsidR="004515D1" w:rsidRDefault="004515D1" w:rsidP="004515D1">
      <w:pPr>
        <w:spacing w:line="276" w:lineRule="auto"/>
        <w:ind w:firstLine="851"/>
        <w:jc w:val="both"/>
        <w:rPr>
          <w:sz w:val="28"/>
          <w:szCs w:val="28"/>
        </w:rPr>
      </w:pPr>
    </w:p>
    <w:p w14:paraId="25A125FD" w14:textId="77777777" w:rsidR="00675316" w:rsidRPr="00790080" w:rsidRDefault="00675316" w:rsidP="0079085F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bookmarkStart w:id="12" w:name="_Toc70002846"/>
      <w:r w:rsidRPr="00790080">
        <w:rPr>
          <w:rFonts w:ascii="Times New Roman" w:hAnsi="Times New Roman" w:cs="Times New Roman"/>
          <w:color w:val="auto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2"/>
    </w:p>
    <w:p w14:paraId="323B2D08" w14:textId="77777777" w:rsidR="00675316" w:rsidRDefault="00675316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61C23B0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bookmarkStart w:id="13" w:name="_Toc530747636"/>
      <w:bookmarkStart w:id="14" w:name="_Toc532994219"/>
      <w:bookmarkStart w:id="15" w:name="_Toc533165865"/>
      <w:bookmarkStart w:id="16" w:name="_Toc533434013"/>
      <w:bookmarkStart w:id="17" w:name="_Toc533516872"/>
      <w:bookmarkStart w:id="18" w:name="_Toc2003799"/>
      <w:r w:rsidRPr="00622D57">
        <w:rPr>
          <w:sz w:val="28"/>
          <w:szCs w:val="28"/>
        </w:rPr>
        <w:t xml:space="preserve"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</w:t>
      </w:r>
      <w:r w:rsidRPr="00622D57">
        <w:rPr>
          <w:sz w:val="28"/>
          <w:szCs w:val="28"/>
        </w:rPr>
        <w:lastRenderedPageBreak/>
        <w:t>материальных потерь в случае их возникновения.</w:t>
      </w:r>
    </w:p>
    <w:p w14:paraId="73605DBA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 xml:space="preserve"> В техногенной сфере работу по предотвращению аварий ведут в соответствии с их видами на конкретных объектах. В качестве мер, снижающих риск возможных ЧС, наиболее эффективными являются совершенствование технологических процессов; повышение качества технологического оборудования и его эксплуатационной надежности; своевременное обновление основных фондов; использование технически грамотной конструкторской и технологической документации, высококачественного сырья, материалов и комплектующих изделий; наличие квалифицированного персонала, создание и применение передовых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</w:p>
    <w:p w14:paraId="52F89A0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Эффективно содействует уменьшению масштабов чрезвычайных ситуаций (особенно в части потерь) создание и применение систем оповещения населения, персонала и органов управления, прежде всего системы централизованного оповещения на местном и объектовом уровнях.</w:t>
      </w:r>
    </w:p>
    <w:p w14:paraId="26393F3B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</w:p>
    <w:p w14:paraId="7D3B819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Важным элементом защиты персонала и территорий являются мероприятия по обеспечению пожарной безопасности, которые включают в себя:</w:t>
      </w:r>
    </w:p>
    <w:p w14:paraId="6EE8534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нормативное правовое регулирование и осуществление государственных мер в области пожарной безопасности;</w:t>
      </w:r>
    </w:p>
    <w:p w14:paraId="61D0A72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разработка и осуществление мер пожарной безопасности;</w:t>
      </w:r>
    </w:p>
    <w:p w14:paraId="1CA8AE6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реализация прав, обязанностей и ответственности персонала в области пожарной безопасности;</w:t>
      </w:r>
    </w:p>
    <w:p w14:paraId="0E3854BB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проведение противопожарной пропаганды и обучение персонала правилам пожарной безопасности;</w:t>
      </w:r>
    </w:p>
    <w:p w14:paraId="2217483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содействие деятельности добровольных пожарных дружин и объединений пожарной охраны, привлечение населения к обеспечению пожарной безопасности;</w:t>
      </w:r>
    </w:p>
    <w:p w14:paraId="7239A431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информационное обеспечение в области пожарной безопасности;</w:t>
      </w:r>
    </w:p>
    <w:p w14:paraId="285CD993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осуществление государственного пожарного надзора и других контрольных функций по обеспечению пожарной безопасности;</w:t>
      </w:r>
    </w:p>
    <w:p w14:paraId="0D1393ED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лицензирование деятельности, сертификация продукции и услуг в области пожарной безопасности;</w:t>
      </w:r>
    </w:p>
    <w:p w14:paraId="431EB56D" w14:textId="265770C2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•</w:t>
      </w:r>
      <w:r w:rsidRPr="00622D57">
        <w:rPr>
          <w:sz w:val="28"/>
          <w:szCs w:val="28"/>
        </w:rPr>
        <w:tab/>
        <w:t>противопожарное страхование, установление налоговых льгот и осуществление иных мер социального и экономического стимулирования обеспечения пожарной безопасности;</w:t>
      </w:r>
    </w:p>
    <w:p w14:paraId="0C22F7A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lastRenderedPageBreak/>
        <w:t>•</w:t>
      </w:r>
      <w:r w:rsidRPr="00622D57">
        <w:rPr>
          <w:sz w:val="28"/>
          <w:szCs w:val="28"/>
        </w:rPr>
        <w:tab/>
        <w:t xml:space="preserve">тушение пожаров и проведение связанных с ними первоочередных </w:t>
      </w:r>
      <w:proofErr w:type="spellStart"/>
      <w:r w:rsidRPr="00622D57">
        <w:rPr>
          <w:sz w:val="28"/>
          <w:szCs w:val="28"/>
        </w:rPr>
        <w:t>аварийно</w:t>
      </w:r>
      <w:proofErr w:type="spellEnd"/>
      <w:r w:rsidRPr="00622D57">
        <w:rPr>
          <w:sz w:val="28"/>
          <w:szCs w:val="28"/>
        </w:rPr>
        <w:t>–спасательных работ.</w:t>
      </w:r>
    </w:p>
    <w:p w14:paraId="3482BDF2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Изготовители (поставщики) веществ, материалов, изделий и оборудования в обязательном порядке указывают в соответствующей технической документации показатели пожарной безопасности этих веществ, материалов, изделий и оборудования, а также меры пожарной безопасности при обращении с ними.</w:t>
      </w:r>
    </w:p>
    <w:p w14:paraId="16BDBA51" w14:textId="77777777" w:rsidR="00622D57" w:rsidRP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>Разработка и реализация мер пожарной безопасности для предприятий,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 Для производств в обязательном порядке разрабатываются планы тушения пожаров, предусматривающие решения по обеспечению безопасности людей.</w:t>
      </w:r>
    </w:p>
    <w:p w14:paraId="06F6793D" w14:textId="77777777" w:rsidR="00622D57" w:rsidRDefault="00622D57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622D57">
        <w:rPr>
          <w:sz w:val="28"/>
          <w:szCs w:val="28"/>
        </w:rPr>
        <w:t xml:space="preserve">Обучение в области гражданской обороны и защиты от чрезвычайных ситуаций осуществляется в рамках единой системы подготовки населения. Оно является обязательным и проводится в учебных заведениях МЧС России, в учреждениях повышения квалификации федеральных органов исполнительной власти и организаций, в </w:t>
      </w:r>
      <w:proofErr w:type="spellStart"/>
      <w:r w:rsidRPr="00622D57">
        <w:rPr>
          <w:sz w:val="28"/>
          <w:szCs w:val="28"/>
        </w:rPr>
        <w:t>учебно</w:t>
      </w:r>
      <w:proofErr w:type="spellEnd"/>
      <w:r w:rsidRPr="00622D57">
        <w:rPr>
          <w:sz w:val="28"/>
          <w:szCs w:val="28"/>
        </w:rPr>
        <w:t>–методических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образований, по месту работы, учебы и проживания граждан.</w:t>
      </w:r>
    </w:p>
    <w:p w14:paraId="6229DCA2" w14:textId="652CE913" w:rsidR="002B47EE" w:rsidRDefault="002B47EE" w:rsidP="00622D57">
      <w:pPr>
        <w:spacing w:line="276" w:lineRule="auto"/>
        <w:ind w:firstLine="851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</w:t>
      </w:r>
      <w:r w:rsidR="002E5126">
        <w:rPr>
          <w:sz w:val="28"/>
          <w:szCs w:val="28"/>
        </w:rPr>
        <w:t xml:space="preserve"> </w:t>
      </w:r>
      <w:r w:rsidRPr="00A87C24">
        <w:rPr>
          <w:sz w:val="28"/>
          <w:szCs w:val="28"/>
        </w:rPr>
        <w:t>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13"/>
      <w:bookmarkEnd w:id="14"/>
      <w:bookmarkEnd w:id="15"/>
      <w:bookmarkEnd w:id="16"/>
      <w:bookmarkEnd w:id="17"/>
      <w:bookmarkEnd w:id="18"/>
    </w:p>
    <w:sectPr w:rsidR="002B47EE" w:rsidSect="00586A33">
      <w:type w:val="continuous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DF7D" w14:textId="77777777" w:rsidR="007B4B23" w:rsidRDefault="007B4B23" w:rsidP="00643479">
      <w:r>
        <w:separator/>
      </w:r>
    </w:p>
  </w:endnote>
  <w:endnote w:type="continuationSeparator" w:id="0">
    <w:p w14:paraId="33BA0D9D" w14:textId="77777777" w:rsidR="007B4B23" w:rsidRDefault="007B4B23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2857" w14:textId="77777777" w:rsidR="009B2CD9" w:rsidRDefault="009B2CD9" w:rsidP="008C11D7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082B472F" w14:textId="754D4C89" w:rsidR="009B2CD9" w:rsidRPr="00923A47" w:rsidRDefault="009B2CD9" w:rsidP="008C11D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</w:t>
    </w:r>
    <w:r w:rsidR="00360072"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657" w14:textId="2459CCFB" w:rsidR="009B2CD9" w:rsidRDefault="009B2CD9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39D4E347" w14:textId="7FA4B015" w:rsidR="009B2CD9" w:rsidRPr="00923A47" w:rsidRDefault="009B2CD9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</w:t>
    </w:r>
    <w:r w:rsidR="00360072">
      <w:rPr>
        <w:sz w:val="28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B4CB" w14:textId="77777777" w:rsidR="009B2CD9" w:rsidRPr="00923A47" w:rsidRDefault="009B2CD9" w:rsidP="00923A47">
    <w:pPr>
      <w:pStyle w:val="a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C028" w14:textId="77777777" w:rsidR="007B4B23" w:rsidRDefault="007B4B23" w:rsidP="00643479">
      <w:r>
        <w:separator/>
      </w:r>
    </w:p>
  </w:footnote>
  <w:footnote w:type="continuationSeparator" w:id="0">
    <w:p w14:paraId="7082CEFA" w14:textId="77777777" w:rsidR="007B4B23" w:rsidRDefault="007B4B23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304E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  <w:r w:rsidRPr="008C11D7">
      <w:rPr>
        <w:rFonts w:ascii="Calibri" w:hAnsi="Calibri"/>
        <w:noProof/>
        <w:lang w:bidi="ar-SA"/>
      </w:rPr>
      <w:drawing>
        <wp:anchor distT="0" distB="0" distL="114300" distR="114300" simplePos="0" relativeHeight="251657728" behindDoc="0" locked="0" layoutInCell="1" allowOverlap="1" wp14:anchorId="18E65F59" wp14:editId="58E4937A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D7">
      <w:rPr>
        <w:rFonts w:eastAsia="Tahoma"/>
        <w:color w:val="000000"/>
      </w:rPr>
      <w:t>Владивосток, 690014</w:t>
    </w:r>
  </w:p>
  <w:p w14:paraId="6B2419DE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  <w:r w:rsidRPr="008C11D7">
      <w:rPr>
        <w:rFonts w:eastAsia="Tahoma"/>
        <w:color w:val="000000"/>
      </w:rPr>
      <w:t>Некрасовская, 36Б, офис 515.</w:t>
    </w:r>
    <w:r w:rsidRPr="008C11D7">
      <w:rPr>
        <w:rFonts w:eastAsia="Tahoma"/>
        <w:color w:val="000000"/>
      </w:rPr>
      <w:br/>
    </w:r>
    <w:r w:rsidRPr="008C11D7">
      <w:rPr>
        <w:rFonts w:eastAsia="Tahoma"/>
      </w:rPr>
      <w:t>тел.: 202-54-36</w:t>
    </w:r>
    <w:r w:rsidRPr="008C11D7">
      <w:rPr>
        <w:rFonts w:eastAsia="Tahoma"/>
      </w:rPr>
      <w:br/>
    </w:r>
    <w:r w:rsidRPr="008C11D7">
      <w:rPr>
        <w:rFonts w:eastAsia="Tahoma"/>
        <w:lang w:val="en-US" w:bidi="en-US"/>
      </w:rPr>
      <w:t>office</w:t>
    </w:r>
    <w:r w:rsidRPr="008C11D7">
      <w:rPr>
        <w:rFonts w:eastAsia="Tahoma"/>
        <w:lang w:bidi="en-US"/>
      </w:rPr>
      <w:t>@</w:t>
    </w:r>
    <w:proofErr w:type="spellStart"/>
    <w:r w:rsidRPr="008C11D7">
      <w:rPr>
        <w:rFonts w:eastAsia="Tahoma"/>
        <w:lang w:val="en-US" w:bidi="en-US"/>
      </w:rPr>
      <w:t>ikv</w:t>
    </w:r>
    <w:proofErr w:type="spellEnd"/>
    <w:r w:rsidRPr="008C11D7">
      <w:rPr>
        <w:rFonts w:eastAsia="Tahoma"/>
        <w:lang w:bidi="en-US"/>
      </w:rPr>
      <w:t>-</w:t>
    </w:r>
    <w:r w:rsidRPr="008C11D7">
      <w:rPr>
        <w:rFonts w:eastAsia="Tahoma"/>
        <w:lang w:val="en-US" w:bidi="en-US"/>
      </w:rPr>
      <w:t>dv</w:t>
    </w:r>
    <w:r w:rsidRPr="008C11D7">
      <w:rPr>
        <w:rFonts w:eastAsia="Tahoma"/>
        <w:lang w:bidi="en-US"/>
      </w:rPr>
      <w:t>.</w:t>
    </w:r>
    <w:proofErr w:type="spellStart"/>
    <w:r w:rsidRPr="008C11D7">
      <w:rPr>
        <w:rFonts w:eastAsia="Tahoma"/>
        <w:lang w:val="en-US" w:bidi="en-US"/>
      </w:rPr>
      <w:t>ru</w:t>
    </w:r>
    <w:proofErr w:type="spellEnd"/>
  </w:p>
  <w:p w14:paraId="63014B50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43B32B08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4B86AC1F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</w:p>
  <w:p w14:paraId="0885EF6A" w14:textId="77777777" w:rsidR="009B2CD9" w:rsidRPr="008C11D7" w:rsidRDefault="009B2CD9" w:rsidP="008C11D7">
    <w:pPr>
      <w:widowControl/>
      <w:autoSpaceDE/>
      <w:autoSpaceDN/>
      <w:rPr>
        <w:rFonts w:ascii="Calibri" w:hAnsi="Calibri"/>
        <w:lang w:bidi="ar-SA"/>
      </w:rPr>
    </w:pPr>
    <w:r w:rsidRPr="008C11D7">
      <w:rPr>
        <w:rFonts w:ascii="Calibri" w:hAnsi="Calibri"/>
        <w:lang w:bidi="ar-SA"/>
      </w:rPr>
      <w:t>_____________________________________________________________________________________</w:t>
    </w:r>
  </w:p>
  <w:p w14:paraId="153E7A4C" w14:textId="77777777" w:rsidR="009B2CD9" w:rsidRPr="008C11D7" w:rsidRDefault="009B2CD9" w:rsidP="008C11D7">
    <w:pPr>
      <w:widowControl/>
      <w:tabs>
        <w:tab w:val="center" w:pos="4677"/>
        <w:tab w:val="right" w:pos="9355"/>
      </w:tabs>
      <w:autoSpaceDE/>
      <w:autoSpaceDN/>
      <w:rPr>
        <w:rFonts w:ascii="Calibri" w:eastAsia="Calibri" w:hAnsi="Calibri"/>
        <w:sz w:val="20"/>
        <w:szCs w:val="20"/>
        <w:lang w:bidi="ar-SA"/>
      </w:rPr>
    </w:pPr>
    <w:r w:rsidRPr="008C11D7"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411A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  <w:r w:rsidRPr="008C11D7">
      <w:rPr>
        <w:rFonts w:ascii="Calibri" w:hAnsi="Calibri"/>
        <w:noProof/>
        <w:lang w:bidi="ar-SA"/>
      </w:rPr>
      <w:drawing>
        <wp:anchor distT="0" distB="0" distL="114300" distR="114300" simplePos="0" relativeHeight="251656704" behindDoc="0" locked="0" layoutInCell="1" allowOverlap="1" wp14:anchorId="1839ACF1" wp14:editId="470D5619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10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D7">
      <w:rPr>
        <w:rFonts w:eastAsia="Tahoma"/>
        <w:color w:val="000000"/>
      </w:rPr>
      <w:t>Владивосток, 690014</w:t>
    </w:r>
  </w:p>
  <w:p w14:paraId="3EFA26B6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  <w:r w:rsidRPr="008C11D7">
      <w:rPr>
        <w:rFonts w:eastAsia="Tahoma"/>
        <w:color w:val="000000"/>
      </w:rPr>
      <w:t>Некрасовская, 36Б, офис 515.</w:t>
    </w:r>
    <w:r w:rsidRPr="008C11D7">
      <w:rPr>
        <w:rFonts w:eastAsia="Tahoma"/>
        <w:color w:val="000000"/>
      </w:rPr>
      <w:br/>
    </w:r>
    <w:r w:rsidRPr="008C11D7">
      <w:rPr>
        <w:rFonts w:eastAsia="Tahoma"/>
      </w:rPr>
      <w:t>тел.: 202-54-36</w:t>
    </w:r>
    <w:r w:rsidRPr="008C11D7">
      <w:rPr>
        <w:rFonts w:eastAsia="Tahoma"/>
      </w:rPr>
      <w:br/>
    </w:r>
    <w:r w:rsidRPr="008C11D7">
      <w:rPr>
        <w:rFonts w:eastAsia="Tahoma"/>
        <w:lang w:val="en-US" w:bidi="en-US"/>
      </w:rPr>
      <w:t>office</w:t>
    </w:r>
    <w:r w:rsidRPr="008C11D7">
      <w:rPr>
        <w:rFonts w:eastAsia="Tahoma"/>
        <w:lang w:bidi="en-US"/>
      </w:rPr>
      <w:t>@</w:t>
    </w:r>
    <w:proofErr w:type="spellStart"/>
    <w:r w:rsidRPr="008C11D7">
      <w:rPr>
        <w:rFonts w:eastAsia="Tahoma"/>
        <w:lang w:val="en-US" w:bidi="en-US"/>
      </w:rPr>
      <w:t>ikv</w:t>
    </w:r>
    <w:proofErr w:type="spellEnd"/>
    <w:r w:rsidRPr="008C11D7">
      <w:rPr>
        <w:rFonts w:eastAsia="Tahoma"/>
        <w:lang w:bidi="en-US"/>
      </w:rPr>
      <w:t>-</w:t>
    </w:r>
    <w:r w:rsidRPr="008C11D7">
      <w:rPr>
        <w:rFonts w:eastAsia="Tahoma"/>
        <w:lang w:val="en-US" w:bidi="en-US"/>
      </w:rPr>
      <w:t>dv</w:t>
    </w:r>
    <w:r w:rsidRPr="008C11D7">
      <w:rPr>
        <w:rFonts w:eastAsia="Tahoma"/>
        <w:lang w:bidi="en-US"/>
      </w:rPr>
      <w:t>.</w:t>
    </w:r>
    <w:proofErr w:type="spellStart"/>
    <w:r w:rsidRPr="008C11D7">
      <w:rPr>
        <w:rFonts w:eastAsia="Tahoma"/>
        <w:lang w:val="en-US" w:bidi="en-US"/>
      </w:rPr>
      <w:t>ru</w:t>
    </w:r>
    <w:proofErr w:type="spellEnd"/>
  </w:p>
  <w:p w14:paraId="1DABEAA9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6756275D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en-US"/>
      </w:rPr>
    </w:pPr>
  </w:p>
  <w:p w14:paraId="6F31100C" w14:textId="77777777" w:rsidR="009B2CD9" w:rsidRPr="008C11D7" w:rsidRDefault="009B2CD9" w:rsidP="008C11D7">
    <w:pPr>
      <w:autoSpaceDE/>
      <w:autoSpaceDN/>
      <w:spacing w:line="225" w:lineRule="exact"/>
      <w:ind w:left="2542"/>
      <w:rPr>
        <w:rFonts w:eastAsia="Tahoma"/>
        <w:lang w:bidi="ar-SA"/>
      </w:rPr>
    </w:pPr>
  </w:p>
  <w:p w14:paraId="48418077" w14:textId="77777777" w:rsidR="009B2CD9" w:rsidRPr="008C11D7" w:rsidRDefault="009B2CD9" w:rsidP="008C11D7">
    <w:pPr>
      <w:widowControl/>
      <w:autoSpaceDE/>
      <w:autoSpaceDN/>
      <w:rPr>
        <w:rFonts w:ascii="Calibri" w:hAnsi="Calibri"/>
        <w:lang w:bidi="ar-SA"/>
      </w:rPr>
    </w:pPr>
    <w:r w:rsidRPr="008C11D7">
      <w:rPr>
        <w:rFonts w:ascii="Calibri" w:hAnsi="Calibri"/>
        <w:lang w:bidi="ar-SA"/>
      </w:rPr>
      <w:t>_____________________________________________________________________________________</w:t>
    </w:r>
  </w:p>
  <w:p w14:paraId="13EA227C" w14:textId="77777777" w:rsidR="009B2CD9" w:rsidRPr="008C11D7" w:rsidRDefault="009B2CD9" w:rsidP="008C11D7">
    <w:pPr>
      <w:widowControl/>
      <w:tabs>
        <w:tab w:val="center" w:pos="4677"/>
        <w:tab w:val="right" w:pos="9355"/>
      </w:tabs>
      <w:autoSpaceDE/>
      <w:autoSpaceDN/>
      <w:rPr>
        <w:rFonts w:ascii="Calibri" w:eastAsia="Calibri" w:hAnsi="Calibri"/>
        <w:sz w:val="20"/>
        <w:szCs w:val="20"/>
        <w:lang w:bidi="ar-SA"/>
      </w:rPr>
    </w:pPr>
    <w:r w:rsidRPr="008C11D7"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7B3A" w14:textId="77777777" w:rsidR="009B2CD9" w:rsidRDefault="007B4B23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6428C1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0.7pt;margin-top:36.45pt;width:15.3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" filled="f" stroked="f">
          <v:textbox inset="0,0,0,0">
            <w:txbxContent>
              <w:p w14:paraId="0A892BD5" w14:textId="0EA0E267" w:rsidR="009B2CD9" w:rsidRPr="006C65F3" w:rsidRDefault="009B2CD9">
                <w:pPr>
                  <w:spacing w:line="245" w:lineRule="exact"/>
                  <w:ind w:left="40"/>
                </w:pPr>
                <w:r w:rsidRPr="006C65F3">
                  <w:fldChar w:fldCharType="begin"/>
                </w:r>
                <w:r w:rsidRPr="006C65F3">
                  <w:instrText xml:space="preserve"> PAGE </w:instrText>
                </w:r>
                <w:r w:rsidRPr="006C65F3">
                  <w:fldChar w:fldCharType="separate"/>
                </w:r>
                <w:r w:rsidR="0008572C">
                  <w:rPr>
                    <w:noProof/>
                  </w:rPr>
                  <w:t>13</w:t>
                </w:r>
                <w:r w:rsidRPr="006C65F3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5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 w15:restartNumberingAfterBreak="0">
    <w:nsid w:val="604911B4"/>
    <w:multiLevelType w:val="multilevel"/>
    <w:tmpl w:val="B6FA1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 w15:restartNumberingAfterBreak="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1C0E95"/>
    <w:multiLevelType w:val="multilevel"/>
    <w:tmpl w:val="092C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3" w15:restartNumberingAfterBreak="0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6"/>
  </w:num>
  <w:num w:numId="11">
    <w:abstractNumId w:val="13"/>
  </w:num>
  <w:num w:numId="12">
    <w:abstractNumId w:val="11"/>
  </w:num>
  <w:num w:numId="13">
    <w:abstractNumId w:val="24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4010C"/>
    <w:rsid w:val="00040D8B"/>
    <w:rsid w:val="00041821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8572C"/>
    <w:rsid w:val="00092CF2"/>
    <w:rsid w:val="00092F8C"/>
    <w:rsid w:val="00097666"/>
    <w:rsid w:val="000A0E65"/>
    <w:rsid w:val="000A622F"/>
    <w:rsid w:val="000B0A6D"/>
    <w:rsid w:val="000C1803"/>
    <w:rsid w:val="000C279C"/>
    <w:rsid w:val="000C37F0"/>
    <w:rsid w:val="000D6088"/>
    <w:rsid w:val="000D6D14"/>
    <w:rsid w:val="000E2769"/>
    <w:rsid w:val="000E6245"/>
    <w:rsid w:val="000E681A"/>
    <w:rsid w:val="000E768C"/>
    <w:rsid w:val="000E769B"/>
    <w:rsid w:val="000F0BB9"/>
    <w:rsid w:val="000F1627"/>
    <w:rsid w:val="0010115A"/>
    <w:rsid w:val="0010231C"/>
    <w:rsid w:val="00110EE6"/>
    <w:rsid w:val="00113C8B"/>
    <w:rsid w:val="00121E0B"/>
    <w:rsid w:val="0012465E"/>
    <w:rsid w:val="00125C34"/>
    <w:rsid w:val="00130392"/>
    <w:rsid w:val="00130476"/>
    <w:rsid w:val="00133214"/>
    <w:rsid w:val="00137310"/>
    <w:rsid w:val="001417B2"/>
    <w:rsid w:val="00142439"/>
    <w:rsid w:val="00151D72"/>
    <w:rsid w:val="00153AE8"/>
    <w:rsid w:val="00154CB8"/>
    <w:rsid w:val="00171983"/>
    <w:rsid w:val="00171A7B"/>
    <w:rsid w:val="00172486"/>
    <w:rsid w:val="0018619C"/>
    <w:rsid w:val="00187F03"/>
    <w:rsid w:val="001A3147"/>
    <w:rsid w:val="001A4A3B"/>
    <w:rsid w:val="001A740A"/>
    <w:rsid w:val="001C1D46"/>
    <w:rsid w:val="001C28DE"/>
    <w:rsid w:val="001C46BB"/>
    <w:rsid w:val="001D0F99"/>
    <w:rsid w:val="001D71AE"/>
    <w:rsid w:val="001D7966"/>
    <w:rsid w:val="001E1370"/>
    <w:rsid w:val="001E2E71"/>
    <w:rsid w:val="001E34F8"/>
    <w:rsid w:val="001F0D38"/>
    <w:rsid w:val="001F46BB"/>
    <w:rsid w:val="00202156"/>
    <w:rsid w:val="00207DB6"/>
    <w:rsid w:val="002112AF"/>
    <w:rsid w:val="002131F9"/>
    <w:rsid w:val="00214C7D"/>
    <w:rsid w:val="00215DD8"/>
    <w:rsid w:val="00223A7E"/>
    <w:rsid w:val="00225B59"/>
    <w:rsid w:val="00225ECD"/>
    <w:rsid w:val="002306F5"/>
    <w:rsid w:val="00237019"/>
    <w:rsid w:val="00242FEE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E094E"/>
    <w:rsid w:val="002E0ADC"/>
    <w:rsid w:val="002E3DEC"/>
    <w:rsid w:val="002E5126"/>
    <w:rsid w:val="002E5A20"/>
    <w:rsid w:val="002E7126"/>
    <w:rsid w:val="002F7F68"/>
    <w:rsid w:val="00301733"/>
    <w:rsid w:val="0030354C"/>
    <w:rsid w:val="003040D5"/>
    <w:rsid w:val="003048F8"/>
    <w:rsid w:val="0031089C"/>
    <w:rsid w:val="00315723"/>
    <w:rsid w:val="00315DB0"/>
    <w:rsid w:val="00317E7C"/>
    <w:rsid w:val="0032540C"/>
    <w:rsid w:val="003267AE"/>
    <w:rsid w:val="00326C7D"/>
    <w:rsid w:val="003337A3"/>
    <w:rsid w:val="00343C58"/>
    <w:rsid w:val="0034489A"/>
    <w:rsid w:val="00352D18"/>
    <w:rsid w:val="0035683C"/>
    <w:rsid w:val="00360072"/>
    <w:rsid w:val="003654F1"/>
    <w:rsid w:val="00366EC4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D0B0D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2983"/>
    <w:rsid w:val="003F43E0"/>
    <w:rsid w:val="003F46EA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1674"/>
    <w:rsid w:val="00443CA9"/>
    <w:rsid w:val="004515D1"/>
    <w:rsid w:val="0045232E"/>
    <w:rsid w:val="00455B4B"/>
    <w:rsid w:val="00461A12"/>
    <w:rsid w:val="0046403F"/>
    <w:rsid w:val="00464863"/>
    <w:rsid w:val="00484E7E"/>
    <w:rsid w:val="00487588"/>
    <w:rsid w:val="00487CA7"/>
    <w:rsid w:val="00492DF2"/>
    <w:rsid w:val="00496008"/>
    <w:rsid w:val="004A7F37"/>
    <w:rsid w:val="004B0452"/>
    <w:rsid w:val="004B2F26"/>
    <w:rsid w:val="004B3BD9"/>
    <w:rsid w:val="004B7CCB"/>
    <w:rsid w:val="004C1783"/>
    <w:rsid w:val="004C4624"/>
    <w:rsid w:val="004C46CA"/>
    <w:rsid w:val="004C704A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38B6"/>
    <w:rsid w:val="005138CB"/>
    <w:rsid w:val="00516A4D"/>
    <w:rsid w:val="00523BCB"/>
    <w:rsid w:val="00525202"/>
    <w:rsid w:val="00526E85"/>
    <w:rsid w:val="00531A5B"/>
    <w:rsid w:val="00540F26"/>
    <w:rsid w:val="005424F8"/>
    <w:rsid w:val="005511B4"/>
    <w:rsid w:val="00551FD0"/>
    <w:rsid w:val="00553EBB"/>
    <w:rsid w:val="00554D8F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7AF2"/>
    <w:rsid w:val="005D173E"/>
    <w:rsid w:val="005D6FA6"/>
    <w:rsid w:val="005E5697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800"/>
    <w:rsid w:val="00622D57"/>
    <w:rsid w:val="006257F1"/>
    <w:rsid w:val="00626261"/>
    <w:rsid w:val="00631622"/>
    <w:rsid w:val="00631995"/>
    <w:rsid w:val="0064120F"/>
    <w:rsid w:val="006421F1"/>
    <w:rsid w:val="006422F9"/>
    <w:rsid w:val="00643479"/>
    <w:rsid w:val="006436E6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288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3CBF"/>
    <w:rsid w:val="006F621A"/>
    <w:rsid w:val="006F63CD"/>
    <w:rsid w:val="007000DC"/>
    <w:rsid w:val="00710E41"/>
    <w:rsid w:val="00711144"/>
    <w:rsid w:val="007135CF"/>
    <w:rsid w:val="00715D4E"/>
    <w:rsid w:val="00725A3F"/>
    <w:rsid w:val="00725C23"/>
    <w:rsid w:val="00725F8F"/>
    <w:rsid w:val="0073077A"/>
    <w:rsid w:val="00734105"/>
    <w:rsid w:val="007364E6"/>
    <w:rsid w:val="00736B2C"/>
    <w:rsid w:val="00743E9C"/>
    <w:rsid w:val="00743F69"/>
    <w:rsid w:val="00753DE1"/>
    <w:rsid w:val="00755D21"/>
    <w:rsid w:val="00757644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90080"/>
    <w:rsid w:val="007902C1"/>
    <w:rsid w:val="0079085F"/>
    <w:rsid w:val="0079240C"/>
    <w:rsid w:val="007A2B70"/>
    <w:rsid w:val="007A3E1F"/>
    <w:rsid w:val="007B4644"/>
    <w:rsid w:val="007B4B23"/>
    <w:rsid w:val="007B59CE"/>
    <w:rsid w:val="007B7C7D"/>
    <w:rsid w:val="007C308F"/>
    <w:rsid w:val="007C3336"/>
    <w:rsid w:val="007C396F"/>
    <w:rsid w:val="007C531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3C72"/>
    <w:rsid w:val="00861337"/>
    <w:rsid w:val="008623FE"/>
    <w:rsid w:val="008770DA"/>
    <w:rsid w:val="00882A12"/>
    <w:rsid w:val="00884795"/>
    <w:rsid w:val="00894BB1"/>
    <w:rsid w:val="008973A4"/>
    <w:rsid w:val="008979A5"/>
    <w:rsid w:val="008A4BD0"/>
    <w:rsid w:val="008B21C3"/>
    <w:rsid w:val="008B2CE9"/>
    <w:rsid w:val="008B3ABD"/>
    <w:rsid w:val="008B5EC3"/>
    <w:rsid w:val="008C11D7"/>
    <w:rsid w:val="008E0165"/>
    <w:rsid w:val="008E48C1"/>
    <w:rsid w:val="008E4BA1"/>
    <w:rsid w:val="008E6793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1901"/>
    <w:rsid w:val="00943832"/>
    <w:rsid w:val="00947C6B"/>
    <w:rsid w:val="00950129"/>
    <w:rsid w:val="009538CD"/>
    <w:rsid w:val="00960BDB"/>
    <w:rsid w:val="0096621E"/>
    <w:rsid w:val="00970046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B2CD9"/>
    <w:rsid w:val="009C584A"/>
    <w:rsid w:val="009C6BC6"/>
    <w:rsid w:val="009C758B"/>
    <w:rsid w:val="009D171E"/>
    <w:rsid w:val="009D2784"/>
    <w:rsid w:val="009D2DBC"/>
    <w:rsid w:val="009D3197"/>
    <w:rsid w:val="009E3C1A"/>
    <w:rsid w:val="009E4D3E"/>
    <w:rsid w:val="009E7899"/>
    <w:rsid w:val="009F3AF7"/>
    <w:rsid w:val="009F65FB"/>
    <w:rsid w:val="00A037D8"/>
    <w:rsid w:val="00A05D25"/>
    <w:rsid w:val="00A05F24"/>
    <w:rsid w:val="00A11FA9"/>
    <w:rsid w:val="00A16996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3FFB"/>
    <w:rsid w:val="00A650B1"/>
    <w:rsid w:val="00A659C4"/>
    <w:rsid w:val="00A8188F"/>
    <w:rsid w:val="00A82F2A"/>
    <w:rsid w:val="00A83E56"/>
    <w:rsid w:val="00A84403"/>
    <w:rsid w:val="00A87C24"/>
    <w:rsid w:val="00A97C63"/>
    <w:rsid w:val="00AB1C5C"/>
    <w:rsid w:val="00AB2836"/>
    <w:rsid w:val="00AB2EC3"/>
    <w:rsid w:val="00AB4FBA"/>
    <w:rsid w:val="00AB65C6"/>
    <w:rsid w:val="00AC326C"/>
    <w:rsid w:val="00AC560E"/>
    <w:rsid w:val="00AC76A8"/>
    <w:rsid w:val="00AD1F35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5A9B"/>
    <w:rsid w:val="00B21AE6"/>
    <w:rsid w:val="00B3165C"/>
    <w:rsid w:val="00B33E36"/>
    <w:rsid w:val="00B35102"/>
    <w:rsid w:val="00B47BD6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1798"/>
    <w:rsid w:val="00BB5584"/>
    <w:rsid w:val="00BC4987"/>
    <w:rsid w:val="00BC626E"/>
    <w:rsid w:val="00BD091B"/>
    <w:rsid w:val="00BD1B98"/>
    <w:rsid w:val="00BD2B3F"/>
    <w:rsid w:val="00BD664B"/>
    <w:rsid w:val="00BE35CF"/>
    <w:rsid w:val="00BE4F95"/>
    <w:rsid w:val="00BE54F2"/>
    <w:rsid w:val="00BE7F44"/>
    <w:rsid w:val="00BF2A4A"/>
    <w:rsid w:val="00BF3A54"/>
    <w:rsid w:val="00BF4CDC"/>
    <w:rsid w:val="00BF571A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30FA"/>
    <w:rsid w:val="00D175F1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253"/>
    <w:rsid w:val="00D75ED4"/>
    <w:rsid w:val="00D774B6"/>
    <w:rsid w:val="00D84267"/>
    <w:rsid w:val="00D855B7"/>
    <w:rsid w:val="00D91B37"/>
    <w:rsid w:val="00D93D5E"/>
    <w:rsid w:val="00D94291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0C8F"/>
    <w:rsid w:val="00DE1605"/>
    <w:rsid w:val="00DE74E5"/>
    <w:rsid w:val="00DF00B8"/>
    <w:rsid w:val="00DF4293"/>
    <w:rsid w:val="00DF4F12"/>
    <w:rsid w:val="00E01410"/>
    <w:rsid w:val="00E03E40"/>
    <w:rsid w:val="00E0589B"/>
    <w:rsid w:val="00E12D59"/>
    <w:rsid w:val="00E2124C"/>
    <w:rsid w:val="00E317ED"/>
    <w:rsid w:val="00E339D8"/>
    <w:rsid w:val="00E33FA2"/>
    <w:rsid w:val="00E35346"/>
    <w:rsid w:val="00E36A58"/>
    <w:rsid w:val="00E4196F"/>
    <w:rsid w:val="00E41B94"/>
    <w:rsid w:val="00E434C9"/>
    <w:rsid w:val="00E4581B"/>
    <w:rsid w:val="00E46E72"/>
    <w:rsid w:val="00E53E98"/>
    <w:rsid w:val="00E5539C"/>
    <w:rsid w:val="00E72EF1"/>
    <w:rsid w:val="00E81B44"/>
    <w:rsid w:val="00E86EBC"/>
    <w:rsid w:val="00E93A13"/>
    <w:rsid w:val="00EA0872"/>
    <w:rsid w:val="00EA73F6"/>
    <w:rsid w:val="00EB1545"/>
    <w:rsid w:val="00EB23F2"/>
    <w:rsid w:val="00EC3941"/>
    <w:rsid w:val="00ED3043"/>
    <w:rsid w:val="00ED424C"/>
    <w:rsid w:val="00ED45E1"/>
    <w:rsid w:val="00ED76DB"/>
    <w:rsid w:val="00EE3388"/>
    <w:rsid w:val="00EE53EF"/>
    <w:rsid w:val="00EE7333"/>
    <w:rsid w:val="00EF13EF"/>
    <w:rsid w:val="00F0289D"/>
    <w:rsid w:val="00F046DC"/>
    <w:rsid w:val="00F10CF0"/>
    <w:rsid w:val="00F13ED1"/>
    <w:rsid w:val="00F156D7"/>
    <w:rsid w:val="00F220CD"/>
    <w:rsid w:val="00F24F49"/>
    <w:rsid w:val="00F25D6A"/>
    <w:rsid w:val="00F2613C"/>
    <w:rsid w:val="00F3530D"/>
    <w:rsid w:val="00F4690C"/>
    <w:rsid w:val="00F5373B"/>
    <w:rsid w:val="00F53918"/>
    <w:rsid w:val="00F54C68"/>
    <w:rsid w:val="00F553BB"/>
    <w:rsid w:val="00F5604A"/>
    <w:rsid w:val="00F56868"/>
    <w:rsid w:val="00F60940"/>
    <w:rsid w:val="00F61201"/>
    <w:rsid w:val="00F6262C"/>
    <w:rsid w:val="00F64D0C"/>
    <w:rsid w:val="00F70703"/>
    <w:rsid w:val="00F71718"/>
    <w:rsid w:val="00F77A4D"/>
    <w:rsid w:val="00F82AF2"/>
    <w:rsid w:val="00FA259F"/>
    <w:rsid w:val="00FB0F96"/>
    <w:rsid w:val="00FB309A"/>
    <w:rsid w:val="00FB4A54"/>
    <w:rsid w:val="00FB5486"/>
    <w:rsid w:val="00FD4579"/>
    <w:rsid w:val="00FD5B46"/>
    <w:rsid w:val="00FD7621"/>
    <w:rsid w:val="00FE1287"/>
    <w:rsid w:val="00FE36BA"/>
    <w:rsid w:val="00FE426A"/>
    <w:rsid w:val="00FF00F0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73F7DE"/>
  <w15:docId w15:val="{62C6DFA9-A2A2-4C01-949D-682CCEC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0015E5"/>
    <w:pPr>
      <w:tabs>
        <w:tab w:val="right" w:leader="dot" w:pos="934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8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7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Абзац"/>
    <w:basedOn w:val="a"/>
    <w:link w:val="afb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b">
    <w:name w:val="Абзац Знак"/>
    <w:link w:val="afa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"/>
    <w:basedOn w:val="a"/>
    <w:link w:val="afd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d">
    <w:name w:val="Список Знак"/>
    <w:link w:val="afc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e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">
    <w:name w:val="ПЗ"/>
    <w:basedOn w:val="a"/>
    <w:link w:val="aff0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0">
    <w:name w:val="ПЗ Знак"/>
    <w:basedOn w:val="a0"/>
    <w:link w:val="aff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8"/>
    <w:uiPriority w:val="59"/>
    <w:rsid w:val="00153A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258-5F56-4273-9B0D-8521CBD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15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Тыщенко Михаил</cp:lastModifiedBy>
  <cp:revision>88</cp:revision>
  <cp:lastPrinted>2019-05-05T11:05:00Z</cp:lastPrinted>
  <dcterms:created xsi:type="dcterms:W3CDTF">2020-07-31T11:30:00Z</dcterms:created>
  <dcterms:modified xsi:type="dcterms:W3CDTF">2024-12-04T18:28:00Z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