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93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Артемовского городского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с</w:t>
      </w:r>
      <w:r>
        <w:rPr>
          <w:b/>
          <w:bCs/>
          <w:sz w:val="28"/>
          <w:szCs w:val="28"/>
        </w:rPr>
        <w:t xml:space="preserve">пециальной комиссии по оценке рисков, связанных с принятием постановления администрации Артемовского городского округа по определению границ территорий, прилегающих к не</w:t>
      </w:r>
      <w:r>
        <w:rPr>
          <w:b/>
          <w:bCs/>
          <w:sz w:val="28"/>
          <w:szCs w:val="28"/>
        </w:rPr>
        <w:t xml:space="preserve">которым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Артемовского городского округа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1.1. Специальная комиссии по оценке рисков, связанных с принятием постановления </w:t>
      </w:r>
      <w:r>
        <w:rPr>
          <w:b w:val="0"/>
          <w:bCs w:val="0"/>
          <w:sz w:val="28"/>
          <w:szCs w:val="28"/>
        </w:rPr>
        <w:t xml:space="preserve">администрации Артемовского городского округа по определению границ территорий, прилегающих к не</w:t>
      </w:r>
      <w:r>
        <w:rPr>
          <w:b w:val="0"/>
          <w:bCs w:val="0"/>
          <w:sz w:val="28"/>
          <w:szCs w:val="28"/>
        </w:rPr>
        <w:t xml:space="preserve">которым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Артемовского городского округа</w:t>
      </w:r>
      <w:r>
        <w:rPr>
          <w:sz w:val="28"/>
          <w:szCs w:val="28"/>
        </w:rPr>
        <w:t xml:space="preserve"> (далее - Специальная комиссия) является консультативно-совещательным органом при админист</w:t>
      </w:r>
      <w:r>
        <w:rPr>
          <w:sz w:val="28"/>
          <w:szCs w:val="28"/>
        </w:rPr>
        <w:t xml:space="preserve">рации Артемовского городского округа.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1.2. Состав Специальной комиссии формируется из представителей администрации Артемовского городского округа и по согласованию из представителей организаций культуры, образован</w:t>
      </w:r>
      <w:r>
        <w:rPr>
          <w:sz w:val="28"/>
          <w:szCs w:val="28"/>
        </w:rPr>
        <w:t xml:space="preserve">ия и охраны здоровья, расположенных на территории Артемовского городского округа, представителей некоммерческих орга</w:t>
      </w:r>
      <w:r>
        <w:rPr>
          <w:sz w:val="28"/>
          <w:szCs w:val="28"/>
        </w:rPr>
        <w:t xml:space="preserve">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Специальная комиссия руководствуется действующим законодательством Российской Федерации, муниципальными правовыми актами Артемовского городского округа, в том числе настоящим Положением о Специальной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1.4. Специальная комиссия состоит из председателя Специальной комиссии, заместителя председателя Специальной комиссии, секретаря Специальной комиссии и членов Специальной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 и задача Специальной комиссии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Целью С</w:t>
      </w:r>
      <w:r>
        <w:rPr>
          <w:sz w:val="28"/>
          <w:szCs w:val="28"/>
        </w:rPr>
        <w:t xml:space="preserve">пециальной комиссии является оценка рисков, связанных с принятием постановления администрации Артемовского городского округа, в соответствии с которым планируется первоначальное установление или увеличение границ прилегающих территорий, на которых не допус</w:t>
      </w:r>
      <w:r>
        <w:rPr>
          <w:sz w:val="28"/>
          <w:szCs w:val="28"/>
        </w:rPr>
        <w:t xml:space="preserve">кается розничная пр</w:t>
      </w:r>
      <w:r>
        <w:rPr>
          <w:sz w:val="28"/>
          <w:szCs w:val="28"/>
        </w:rPr>
        <w:t xml:space="preserve">одажа алкогольной продукции и розничная продажа алкогольной продукции при оказании услуг общественного питания, на территории Артемовского городского округа (далее - границы прилегающих территорий), отмена ранее установленных или уменьшение границ п</w:t>
      </w:r>
      <w:r>
        <w:rPr>
          <w:sz w:val="28"/>
          <w:szCs w:val="28"/>
        </w:rPr>
        <w:t xml:space="preserve">рилегающих территорий.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Специальная комиссия выполняет задачу по рассмотрению вопросов по определению границ территорий, прилегающих к некоторым зданиям, строениям, сооружениям, помещениям и местам, на которых не допускается розничная продажа алкогольной продукции и розничная</w:t>
      </w:r>
      <w:r>
        <w:rPr>
          <w:sz w:val="28"/>
          <w:szCs w:val="28"/>
        </w:rPr>
        <w:t xml:space="preserve"> продажа алкогольной продукции при оказании услуг общественного питания, на территории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Специальной комиссии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Специальная комиссия осуществляет следующие функции: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участвует в</w:t>
      </w:r>
      <w:r>
        <w:rPr>
          <w:sz w:val="28"/>
          <w:szCs w:val="28"/>
        </w:rPr>
        <w:t xml:space="preserve"> рассмотрении проектов постановлений администрации Артемовского городского округа,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</w:t>
      </w:r>
      <w:r>
        <w:rPr>
          <w:sz w:val="28"/>
          <w:szCs w:val="28"/>
        </w:rPr>
        <w:t xml:space="preserve">тся розничная продажа алкогольной продукции и розничная продажа алкогольной продукции при оказании услуг общественного питания, на территории Артемовского городского округа;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рассматривает</w:t>
      </w:r>
      <w:r>
        <w:rPr>
          <w:sz w:val="28"/>
          <w:szCs w:val="28"/>
        </w:rPr>
        <w:t xml:space="preserve"> замечания, заключения органов власти и предложения на проекты постановлений администрации Артемовского городского округа, представленные членами Специальной комиссии, заинтересованными организациями и гражданами;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выносит заключение об одобрении проектов постановлений администрации Артемовского городского округа либо об отказе в их одобрении;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функции.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Организация работы Специальной комиссии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4.1. Заседания Специальной комиссии проводит председатель Специальной комиссии, в его отсутствие - заместитель председателя Специальной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4.2. Председатель Специальной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председательствует на заседаниях Специальной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осуществляет руководство работой Специальной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созывает заседания Специальной комиссии, обеспечивает выполнение принятых решений;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подписывает итоговые документы (заключения Специальной комиссии);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обеспечивает направление итоговых документов (заключений Специальной комиссии) для размещения на официальном сайте администрации Артемовского городского округа в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4.3. Заместитель председателя Специальной комиссии: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согласовывает проекты документов и материалов для обсуждения и рассмотрения на заседаниях Специальной комиссии;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готовит итоговые документы (заключения Специальной комиссии) для размещения на официальном сайте Артемовского городского округа в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отсутствие председателя Специальной комиссии выполняет его функции.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4.4. Секретарь Специальной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уведомляет членов Специальной комиссии о дате, времени, месте и повестке заседаний;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обеспечивает организационно-техническое сопровождение деятельности Специальной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ведет, оформляет и рассылает членам Специальной комиссии заключение Специальной комиссии и иные документы и материалы;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готовит заключение Специальной комиссии для его подписания председателем Специальной комиссии или в его отсутствие заместителем председателя Специальной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хранит документацию Специальной комиссии и готовит документы для архивного хранения или уничтожения.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4.5. В случае отсутствия секретаря Специальной комиссии его обязанности по решению председателя Специальной комиссии исполняет один из членов Специальной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4.6. Члены Специальной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вносят предложения по организации работы Специальной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принимают участие в заседаниях Специальной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участвуют в принятии и содействуют реализации решений Специальной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4.7. Заседание Специальной комиссии считается правомочным, если на нем присутствует более половины от общего числа ее членов. Члены Специальной комиссии участвуют в заседании Специальной комиссии лично.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4.8. Члены Специальной комиссии оповещаются о времени и месте заседания Специальной комиссии телефонограммой не менее чем за три дня до даты проведения заседания Специальной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4.9. Принятие решения членами Специальной комиссии путем проведения заочного голосования, а также делегирование ими своих полномочий иным лицам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.10. Решения Специальной комиссии принимаются большинством голосов не менее двух третей общего числа членов Специальной комиссии, присутствующих на заседании Специальной комиссии и оформляются в форме заключения Специальной комиссии. Каждый член Специально</w:t>
      </w:r>
      <w:r>
        <w:rPr>
          <w:sz w:val="28"/>
          <w:szCs w:val="28"/>
        </w:rPr>
        <w:t xml:space="preserve">й комиссии имеет один голос.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равенстве голосов членов Специальной комиссии голос ее председателя на заседании Специальной комиссии является решающим.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4.11. Заключение Специальной комиссии подписывается председателем Специальной комиссии, в его отсутствие - заместителем председателя Специальной комиссии и секретарем Специальной комиссии в течение трех дней со дня проведения заседания Специальной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4.12. Организационно-техническое обеспечение деятельности Специальной комиссии осуществляет управление потребительского рынка и предпринимательства администрации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7" w:h="16839" w:orient="portrait"/>
      <w:pgMar w:top="1134" w:right="709" w:bottom="851" w:left="1560" w:header="56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8"/>
        <w:szCs w:val="28"/>
      </w:rPr>
    </w:pPr>
    <w:r>
      <w:rPr>
        <w:sz w:val="28"/>
        <w:szCs w:val="28"/>
      </w:rPr>
      <w:t xml:space="preserve">4</w:t>
    </w:r>
    <w:r>
      <w:rPr>
        <w:sz w:val="28"/>
        <w:szCs w:val="28"/>
      </w:rPr>
    </w:r>
  </w:p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Title Char"/>
    <w:basedOn w:val="703"/>
    <w:link w:val="717"/>
    <w:uiPriority w:val="10"/>
    <w:rPr>
      <w:sz w:val="48"/>
      <w:szCs w:val="48"/>
    </w:rPr>
  </w:style>
  <w:style w:type="character" w:styleId="688">
    <w:name w:val="Subtitle Char"/>
    <w:basedOn w:val="703"/>
    <w:link w:val="719"/>
    <w:uiPriority w:val="11"/>
    <w:rPr>
      <w:sz w:val="24"/>
      <w:szCs w:val="24"/>
    </w:rPr>
  </w:style>
  <w:style w:type="character" w:styleId="689">
    <w:name w:val="Quote Char"/>
    <w:link w:val="721"/>
    <w:uiPriority w:val="29"/>
    <w:rPr>
      <w:i/>
    </w:rPr>
  </w:style>
  <w:style w:type="character" w:styleId="690">
    <w:name w:val="Intense Quote Char"/>
    <w:link w:val="723"/>
    <w:uiPriority w:val="30"/>
    <w:rPr>
      <w:i/>
    </w:rPr>
  </w:style>
  <w:style w:type="character" w:styleId="691">
    <w:name w:val="Footnote Text Char"/>
    <w:link w:val="858"/>
    <w:uiPriority w:val="99"/>
    <w:rPr>
      <w:sz w:val="18"/>
    </w:rPr>
  </w:style>
  <w:style w:type="character" w:styleId="692">
    <w:name w:val="Endnote Text Char"/>
    <w:link w:val="861"/>
    <w:uiPriority w:val="99"/>
    <w:rPr>
      <w:sz w:val="20"/>
    </w:rPr>
  </w:style>
  <w:style w:type="paragraph" w:styleId="693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94">
    <w:name w:val="Heading 1"/>
    <w:basedOn w:val="693"/>
    <w:next w:val="69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6">
    <w:name w:val="No Spacing"/>
    <w:uiPriority w:val="1"/>
    <w:qFormat/>
  </w:style>
  <w:style w:type="paragraph" w:styleId="717">
    <w:name w:val="Title"/>
    <w:basedOn w:val="693"/>
    <w:next w:val="69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93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6" w:customStyle="1">
    <w:name w:val="Header Char"/>
    <w:uiPriority w:val="99"/>
  </w:style>
  <w:style w:type="paragraph" w:styleId="727">
    <w:name w:val="Footer"/>
    <w:basedOn w:val="693"/>
    <w:link w:val="87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28" w:customStyle="1">
    <w:name w:val="Footer Char"/>
    <w:uiPriority w:val="99"/>
  </w:style>
  <w:style w:type="paragraph" w:styleId="72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704"/>
    <w:uiPriority w:val="59"/>
    <w:tblPr/>
  </w:style>
  <w:style w:type="table" w:styleId="7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693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93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93"/>
    <w:next w:val="693"/>
    <w:uiPriority w:val="39"/>
    <w:unhideWhenUsed/>
    <w:pPr>
      <w:spacing w:after="57"/>
    </w:pPr>
  </w:style>
  <w:style w:type="paragraph" w:styleId="865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6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7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8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9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0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1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2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3"/>
    <w:next w:val="693"/>
    <w:uiPriority w:val="99"/>
    <w:unhideWhenUsed/>
  </w:style>
  <w:style w:type="paragraph" w:styleId="875">
    <w:name w:val="Balloon Text"/>
    <w:basedOn w:val="693"/>
    <w:link w:val="876"/>
    <w:uiPriority w:val="99"/>
    <w:semiHidden/>
    <w:unhideWhenUsed/>
    <w:rPr>
      <w:rFonts w:ascii="Tahoma" w:hAnsi="Tahoma" w:eastAsia="Calibri"/>
      <w:sz w:val="16"/>
      <w:szCs w:val="16"/>
      <w:lang w:val="en-US" w:eastAsia="en-US"/>
    </w:rPr>
  </w:style>
  <w:style w:type="character" w:styleId="876" w:customStyle="1">
    <w:name w:val="Текст выноски Знак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Normal (Web)"/>
    <w:basedOn w:val="693"/>
    <w:uiPriority w:val="99"/>
    <w:semiHidden/>
    <w:unhideWhenUsed/>
    <w:pPr>
      <w:spacing w:before="100" w:beforeAutospacing="1" w:after="100" w:afterAutospacing="1"/>
    </w:pPr>
  </w:style>
  <w:style w:type="character" w:styleId="878" w:customStyle="1">
    <w:name w:val="Верхний колонтитул Знак"/>
    <w:link w:val="725"/>
    <w:uiPriority w:val="99"/>
    <w:rPr>
      <w:rFonts w:ascii="Times New Roman" w:hAnsi="Times New Roman" w:eastAsia="Times New Roman"/>
      <w:sz w:val="24"/>
      <w:szCs w:val="24"/>
    </w:rPr>
  </w:style>
  <w:style w:type="character" w:styleId="879" w:customStyle="1">
    <w:name w:val="Нижний колонтитул Знак"/>
    <w:link w:val="727"/>
    <w:uiPriority w:val="99"/>
    <w:semiHidden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cigankova</dc:creator>
  <cp:revision>31</cp:revision>
  <dcterms:created xsi:type="dcterms:W3CDTF">2019-09-04T02:42:00Z</dcterms:created>
  <dcterms:modified xsi:type="dcterms:W3CDTF">2024-11-11T04:33:20Z</dcterms:modified>
  <cp:version>917504</cp:version>
</cp:coreProperties>
</file>