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F2" w:rsidRDefault="006C2C66">
      <w:pPr>
        <w:pStyle w:val="Default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Доклад о состоянии и развитии конкуренции </w:t>
      </w:r>
    </w:p>
    <w:p w:rsidR="00A57EF2" w:rsidRDefault="006C2C66">
      <w:pPr>
        <w:pStyle w:val="Default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на товарных рынках Артемовского городского округа в 2024 году</w:t>
      </w:r>
    </w:p>
    <w:p w:rsidR="00A57EF2" w:rsidRDefault="00A57EF2">
      <w:pPr>
        <w:pStyle w:val="Default"/>
        <w:rPr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Раздел 1. Сведения о внедрении стандарта развития конкуренции в Артемовском городском округе.</w:t>
      </w:r>
    </w:p>
    <w:p w:rsidR="00A57EF2" w:rsidRDefault="00A57EF2">
      <w:pPr>
        <w:pStyle w:val="Defaul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Решение Главы Артемовского городского округа о внедрении стандарта развития конкуренции в муниципальном образовании (далее – Стандарт).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соответствии с распоряжением Губернатора Приморского края от 27 июня 2019 года № 170-рг «О внедрении Стандарта развития конкуренции в Приморском крае» принято решение Главы Артемовского городского округа о внедрении стандарта развития конкуренции в Артемовском городском округе, согласно которому 15 августа 2019 г.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Артемовского городского округа, 07 сентября 2020 года заключено Дополнительное Соглашение о взаимодействии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округа. 30 марта 2022 года утвержден План мероприятий по содействию развитию конкуренции.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</w:rPr>
      </w:pPr>
      <w:hyperlink r:id="rId7" w:tooltip="https://artemokrug.gosuslugi.ru/deyatelnost/napravleniya-deyatelnosti/ekonom/konkurenciya-v-AGO/normativnye-dokumenty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https://artemokrug.gosuslugi.ru/deyatelnost/napravleniya-deyatelnosti/ekonom/konkurenciya-v-AGO/normativnye-dokumenty/</w:t>
        </w:r>
      </w:hyperlink>
    </w:p>
    <w:p w:rsidR="00A57EF2" w:rsidRDefault="00A57EF2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Сведения об источниках финансовых средств, используемых для достижения целей Стандарта.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Для достижений целей стандарта развития конкуренции в Артемовском городском округе, финансирование мероприятий, направленных на развитие частного сектора экономики (товарных рынков), за счет средств бюджетов в 2024 году осуществлено субсидирование возмещения частных дошкольных </w:t>
      </w:r>
      <w:r>
        <w:rPr>
          <w:i/>
          <w:iCs/>
          <w:color w:val="000000" w:themeColor="text1"/>
          <w:sz w:val="28"/>
          <w:szCs w:val="28"/>
        </w:rPr>
        <w:t xml:space="preserve">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 в сумме 2394,86 тыс. руб. (ИП </w:t>
      </w:r>
      <w:proofErr w:type="spellStart"/>
      <w:r>
        <w:rPr>
          <w:i/>
          <w:iCs/>
          <w:color w:val="000000" w:themeColor="text1"/>
          <w:sz w:val="28"/>
          <w:szCs w:val="28"/>
        </w:rPr>
        <w:t>Пидан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Э.В.)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Субсидия на обеспечение затрат, связанных с оказанием муниципальных услуг в социальной сфере, в соответствии с социальным сертификатом, НОУДО «</w:t>
      </w:r>
      <w:proofErr w:type="spellStart"/>
      <w:r>
        <w:rPr>
          <w:bCs/>
          <w:i/>
          <w:color w:val="000000" w:themeColor="text1"/>
          <w:sz w:val="28"/>
          <w:szCs w:val="28"/>
        </w:rPr>
        <w:t>Лингва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-Плюс», «Формула успеха» и ИП Журавская Евгения Сергеевна, Университет «Синергия», «ВВГУ» составила 4400,26 тыс. руб.  </w:t>
      </w:r>
    </w:p>
    <w:p w:rsidR="00A57EF2" w:rsidRDefault="006C2C66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В 2024 году на выплату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направлено 8255,14 тыс. руб.</w:t>
      </w:r>
    </w:p>
    <w:p w:rsidR="00A57EF2" w:rsidRDefault="006C2C66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lastRenderedPageBreak/>
        <w:t>Финансовая поддержка субъектам малого и среднего предпринимательства оказана в сумме 3800,00 тыс. руб., социально ориентированным некоммерческим организациям – 1096,27 тыс. руб.</w:t>
      </w:r>
    </w:p>
    <w:p w:rsidR="00A57EF2" w:rsidRDefault="006C2C66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В 2025 году запланировано финансирование социально ориентированных организаций средств местного бюджета в сумме 1000,0 тыс. руб.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Информация об определенном должностном лице администрации Артемовского городского округа с правом принятия управленческих решений, ответственным за координацию вопросов содействия развитию конкуренции.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Ответственный за координацию вопросов содействия развитию конкуренции на территории Артемовского городского округа, с правом принятия управленческих решений – </w:t>
      </w:r>
      <w:proofErr w:type="spellStart"/>
      <w:r>
        <w:rPr>
          <w:bCs/>
          <w:i/>
          <w:color w:val="000000" w:themeColor="text1"/>
          <w:sz w:val="28"/>
          <w:szCs w:val="28"/>
        </w:rPr>
        <w:t>Воркова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 Виктория Александровна – первый заместитель главы администрации Артемовского городского округа.</w:t>
      </w:r>
    </w:p>
    <w:p w:rsidR="00A57EF2" w:rsidRDefault="00A57EF2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16"/>
          <w:szCs w:val="16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1.4. Информация об определенном структурном подразделении администрации Артемовского городского округа, уполномоченном содействовать развитию конкуренции в Артемовском городском округе.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На территории Артемовского городского округа определены ответственные за исполнение мероприятий по содействию развитию конкуренции, развитию конкурентной среды на территории Артемовского городского округа,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уполномоченный орган – управление экономики администрации Артемовского городского округа (Распоряжение администрации Артемовского городского округа от 17.12.2020 № 898-ра; от 14.09.2017 № 636-ра; от 29.09.2017 № 656-ра; протокол совещания при главе Артемовского городского округа от 07.08.2019 года).</w:t>
      </w:r>
    </w:p>
    <w:p w:rsidR="00A57EF2" w:rsidRDefault="00A57EF2">
      <w:pPr>
        <w:pStyle w:val="Default"/>
        <w:spacing w:line="360" w:lineRule="auto"/>
        <w:ind w:firstLine="708"/>
        <w:jc w:val="both"/>
        <w:rPr>
          <w:b/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Раздел 2. Сведения о реализации составляющих Стандарта.</w:t>
      </w:r>
    </w:p>
    <w:p w:rsidR="00A57EF2" w:rsidRDefault="00A57EF2">
      <w:pPr>
        <w:pStyle w:val="Default"/>
        <w:spacing w:line="360" w:lineRule="auto"/>
        <w:ind w:firstLine="708"/>
        <w:jc w:val="both"/>
        <w:rPr>
          <w:b/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2.1. Сведения о заключенном соглашении по внедрению Стандарта между министерством экономического развития Приморского края и органом местного самоуправления.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15 августа 2019 года заключено Соглашение о взаимодействии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07 сентября 2020 года заключено Дополнительное Соглашение о взаимодействии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</w:t>
      </w:r>
      <w:hyperlink r:id="rId8" w:tooltip="https://artemokrug.gosuslugi.ru/deyatelnost/napravleniya-deyatelnosti/ekonom/konkurenciya-v-AGO/normativnye-dokumenty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https://artemokrug.gosuslugi.ru/deyatelnost/napravleniya-deyatelnosti/ekonom/konkurenciya-v-AGO/normativnye-dokumenty/</w:t>
        </w:r>
      </w:hyperlink>
    </w:p>
    <w:p w:rsidR="00A57EF2" w:rsidRDefault="00A57EF2">
      <w:pPr>
        <w:pStyle w:val="aff5"/>
        <w:jc w:val="both"/>
        <w:rPr>
          <w:rFonts w:ascii="Liberation Serif" w:hAnsi="Liberation Serif"/>
          <w:color w:val="000000" w:themeColor="text1"/>
        </w:rPr>
      </w:pPr>
    </w:p>
    <w:p w:rsidR="00A57EF2" w:rsidRDefault="006C2C66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2.2. Сведения об участии в отчетном периоде </w:t>
      </w:r>
      <w:r>
        <w:rPr>
          <w:bCs/>
          <w:i/>
          <w:color w:val="000000" w:themeColor="text1"/>
          <w:sz w:val="28"/>
          <w:szCs w:val="28"/>
        </w:rPr>
        <w:t>(12.07.2024)</w:t>
      </w:r>
      <w:r>
        <w:rPr>
          <w:bCs/>
          <w:color w:val="000000" w:themeColor="text1"/>
          <w:sz w:val="28"/>
          <w:szCs w:val="28"/>
        </w:rPr>
        <w:t xml:space="preserve"> в совещании по вопросу развития конкуренции на рынке услуг розничной торговли лекарственными препаратами, медицинскими изделиями и сопутствующими товарами в Приморском крае, проводимым министерством экономического развития Приморского края.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Специалисты управления потребительского рынка, управления физической культуры, спорта и охраны здоровья и управления экономики администрации Артемовского городского округа приняли участие в рабочем совещании.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2.3. Формирование коллегиального органа при главе Артемовского городского округа по вопросам содействия развитию конкуренции (далее – Коллегиальный орган).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color w:val="000000" w:themeColor="text1"/>
        </w:rPr>
      </w:pPr>
      <w:r>
        <w:rPr>
          <w:bCs/>
          <w:i/>
          <w:color w:val="000000" w:themeColor="text1"/>
          <w:sz w:val="28"/>
          <w:szCs w:val="28"/>
        </w:rPr>
        <w:t>В соответствии с Приказом департамента экономики и развития предпринимательства Приморского края от 31.07.2019 № 51 «Об утверждении методических рекомендаций по разработке плана мероприятий («дорожной карты») по содействию развитию конкуренции в городских округах и муниципальных районах Приморского края» (в ред. от 24.08.2020 № 87) коллегиальным органом по вопросам содействия развитию конкуренции на территории Артемовского городского округа является Городская общественная палата, созданная на основании Постановления Артемовской городской Думы от 24.02.1998 № 122 (в ред. Решений Думы Артемовского городского округа от 17.04.2006 № 304, от 19.07.2012 № 708, от 24.02.2016 № 591). В составе Общественной палаты Артемовского городского округа – 25 человек. Список членов Общественной палаты на 2020-2023 гг. размещен на официальном сайте Артемовского городского округа в информационно-телекоммуникационной сети «Интернет»</w:t>
      </w:r>
      <w:r>
        <w:rPr>
          <w:color w:val="000000" w:themeColor="text1"/>
        </w:rPr>
        <w:t>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color w:val="000000" w:themeColor="text1"/>
        </w:rPr>
      </w:pPr>
      <w:hyperlink r:id="rId9" w:tooltip="http://artemduma.ru/?page_id=20471&amp;ysclid=lrittq3zdk810235954" w:history="1">
        <w:r>
          <w:rPr>
            <w:rStyle w:val="af3"/>
            <w:color w:val="000000" w:themeColor="text1"/>
          </w:rPr>
          <w:t>http://artemduma.ru/?page_id=20471&amp;ysclid=lrittq3zdk810235954</w:t>
        </w:r>
      </w:hyperlink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2.4. Результаты ежегодного мониторинга состояния и развития конкуренции на товарных рынках Артемовского городского округа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spacing w:line="240" w:lineRule="auto"/>
        <w:ind w:firstLine="708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Артемовском городском округе.</w:t>
      </w:r>
    </w:p>
    <w:p w:rsidR="00A57EF2" w:rsidRDefault="006C2C66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услуг дошкольного образования.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В Артемовском городском округе реализуют образовательные программы дошкольного образования 29 образовательных организаций, из них: 25 муниципальных дошкольных образовательных учреждений, 1 государственное учреждение (Детский сад № 126 ведомства Минобороны РФ), 1 муниципальное бюджетное общеобразовательное учреждение «Средняя общеобразовательная школа № 31» (7 групп для детей дошкольного возраста), 1 муниципальное бюджетное общеобразовательное учреждение «Средняя общеобразовательная школа № 10» (10 групп для детей дошкольного возраста), 1 муниципальное бюджетное общеобразовательное учреждение «Образовательный центр «Перспектива» (9 групп для детей дошкольного возраста). В детских садах № 1 и 22 функционируют группы кратковременного пребывания. Всего в учреждениях групп кратковременного пребывания – 3. Группы компенсирующей направленности для детей ОВЗ открыты в детских садах № 1, 2, 7, 22, 26, 36, 38. Общая численность детей, получающих услуги дошкольного образования в муниципальных бюджетных дошкольных образовательных организациях Артемовского городского округа, по состоянию на 01.01.2025 составляет – 5 779 человек.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– 84% (2023 г. – 84%)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Обеспеченность дошкольным образованием детей, возраста от 3 до 7 лет, нуждающихся в услугах получения дошкольного образования - 100% (2023 г. – 100%). В дошкольных образовательных организациях создаются дополнительные места для детей раннего возраста (до 3 лет). Количество детей раннего возраста (до 3 лет), получающих дошкольное образование на 01.01.2025 г. – 971 человек (2023 г. – 933 чел.).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Присмотр и уход за детьми дошкольного возраста организуется в обозначенных учреждениях, а также индивидуальными предпринимателями ИП Снегирева И.М., ИП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Пидан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Э.В., ИП Ильяшенко, ИП Тищенко.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 Услуги по присмотру и уходу индивидуальными предпринимателями получили на 01.01.2025 г. – 136 воспитанников (2023 год – 129 детей), из них в возрасте до 3-х лет – 75 чел. (2023 год – 74 чел.).</w:t>
      </w:r>
    </w:p>
    <w:p w:rsidR="00A57EF2" w:rsidRDefault="006C2C66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Кроме того, негосударственными образовательными учреждениями дополнительного образования («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Лингва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-плюс», «Формула успеха», «Академия будущего») оказываются услуги по основным образовательным программам дошкольного образования, охват детей составляет 478 чел., в том числе в возрасте до 3-х лет – 34 чел., от 3-х лет и старше – 444 чел., из них 53 ребенка (0,9%) не посещают муниципальные дошкольные образовательные учреждения.</w:t>
      </w:r>
    </w:p>
    <w:p w:rsidR="00A57EF2" w:rsidRDefault="006C2C66">
      <w:pPr>
        <w:spacing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услуг в сфере дошкольного образования на территории Артемовского городского округа составила 99%.</w:t>
      </w:r>
    </w:p>
    <w:p w:rsidR="00A57EF2" w:rsidRDefault="006C2C66">
      <w:pPr>
        <w:spacing w:after="0" w:line="312" w:lineRule="auto"/>
        <w:ind w:firstLine="708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услуг общего образования.</w:t>
      </w:r>
    </w:p>
    <w:p w:rsidR="00A57EF2" w:rsidRDefault="006C2C66">
      <w:pPr>
        <w:spacing w:after="0" w:line="264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2024 году в Артемовском городском округе образовательные программы общего образования реализуют 24 образовательные организации, из них: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муниципальные общеобразовательные школы – 21 (14662 чел.), 2023 г. - 14678 чел.; </w:t>
      </w:r>
    </w:p>
    <w:p w:rsidR="00A57EF2" w:rsidRDefault="006C2C66">
      <w:pPr>
        <w:spacing w:after="0" w:line="264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краевые государственные образовательные школы-интернаты – 2 (355 чел.), 2023 г. – 355 чел.;</w:t>
      </w:r>
    </w:p>
    <w:p w:rsidR="00A57EF2" w:rsidRDefault="006C2C66">
      <w:pPr>
        <w:spacing w:after="0" w:line="264" w:lineRule="auto"/>
        <w:ind w:firstLine="708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филиал ФГБОУ ВО «ВГУЭС в г. Артеме» - 170 обучающихся получают услуги общего образования на платной основе (2022 г. – 151 чел.).</w:t>
      </w:r>
    </w:p>
    <w:p w:rsidR="00A57EF2" w:rsidRDefault="006C2C66">
      <w:pPr>
        <w:spacing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услуг в сфере услуг общего образования на территории Артемовского городского округа составила 96%.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услуг дополнительного образования детей.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На территории Артемовского городского округа по состоянию на 31.12.2024 функционируют: 10 организаций дополнительного образования, из них 5 муниципальных (3 – сфера образования, 2 – сфера культуры) и 5 частных; 2 муниципальных учреждения спортивной подготовки (сфера физической культуры и спорта). Образовательная деятельность в них ведется в соответствии с лицензией на образовательную деятельность.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Доля организаций частной формы собственности в сфере услуг дополнительного образования детей составляет 50%. 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Согласно данным Министерства образования Приморского края, общий охват дополнительным образованием детей в возрасте от 5 до 18 лет составляет 15635 человек. На базе муниципальных общеобразовательных и дошкольных организаций, а также в муниципальных организациях дополнительного образования Артемовского городского округа занимаются 13244 человека в возрасте от 5 до 18 лет. 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Кроме того, дополнительные образовательные программы реализуются негосударственными образовательными учреждениями дополнительного образования («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Лингва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-Плюс», «Формула успеха», «Академия будущего») - 1116 человек. В муниципальных спортивных учреждениях программами дополнительного образования охвачено 1140 человек, в детских школах искусств – 1932 человека.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Наиболее популярными остаются спортивная и художественная направленность дополнительной образовательной деятельности.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услуг в сфере дополнительного образования детей на территории Артемовского городского округа составила 100%.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услуг детского отдыха и оздоровления.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Организация отдыха, оздоровления, занятости детей и подростков Артемовского городского округа является одним из приоритетных направлений социальной политики Артемовского городского округа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. Мероприятия, направленные на совершенствование и развитие системы организации отдыха, оздоровления и занятости детей и подростков Артемовского городского округа, реализуются в рамках муниципальной программы «Развитие и модернизация образования Артемовского городского округа», утвержденной постановлением администрации Артемовского городского округа от 01.06.2017 № 729-па.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летний период 2024 г. на территории Артемовского городского округа услуги детского отдыха и оздоровления оказывали 28 организаций: 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один загородный оздоровительный лагерь (частная собственность);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24 лагеря с дневным пребыванием (20 – муниципальных, 1 – государственный, 3 – частной формы собственности), 19 лагерей труда и отдыха с дневным пребыванием (муниципальные);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 профильных лагеря с круглосуточным пребыванием (муниципальные).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Все оздоровительные лагеря Артемовского городского округа оформляют санитарно-эпидемиологическое заключение и вошли в реестр оздоровительных организаций Приморского края.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 выплату компенсации родителям (законным представителям) части расходов на оплату стоимости путевки имеют возможность 5 оздоровительных лагерей Артемовского городского округа (17,8%), оказывающих услуги по организации отдыха и оздоровления детей в Приморском крае.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услуг детского отдыха и оздоровления детей на территории Артемовского городского округа составила 100%.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психолого-педагогического сопровождения детей с ограниченными возможностями здоровья.</w:t>
      </w:r>
    </w:p>
    <w:p w:rsidR="00A57EF2" w:rsidRDefault="006C2C6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Рынок услуг психолого-педагогического сопровождения детей с ограниченными возможностями здоровья в Артемовском городском округе развивается.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По состоянию на 31.12.2024 психолого-педагогическое сопровождение детей с ограниченными возможностями здоровья оказывают 3 государственных учреждения (школы-интернаты); 20 общеобразовательных школ; 25 детских садов; одно учреждение социальной защиты населения; 3 частные организации; 12 индивидуальных предпринимателей.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Психолого-педагогическое сопровождение детей с ограниченными возможностями здоровья оказывают всего 64 организации, в том числе 15 – частной формы собственности (23,44%). В государственных и муниципальных образовательных организациях услуги по психолого-педагогическому сопровождению получает 1456 детей с ограниченными возможностями здоровья.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На базе детских садов созданы консультационные пункты, в которых организована работа с родителями по вопросам обучения и воспитания детей с ограниченными возможностями здоровья.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 школах №№ 6, 7, 10, 19, 35, детских садах №№ 1, 5, 22, 38, школах-интернатах оборудованы сенсорные комнаты для проведения занятий с детьми.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На территории Артемовского городского округа функционирует 6 групп для детей с ограниченными возможностями здоровья и детей-инвалидов: МБДОУ № 1 (2 группы) – 24 чел., МБДОУ № 2 (2 группы) – 24 чел., МБДОУ № 7 – 14 чел., МБДОУ № 22 – 15 чел., МБДОУ № 36 – 10 чел., МБДОУ № 38 – 17 чел.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35 детей с ограниченными возможностями здоровья (в возрасте до 3 лет), из них 14 детей получают услуги ранней диагностики, социализации и реабилитации в частных организациях.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обучения: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 школе № 22 функционируют два коррекционных класса для детей с интеллектуальной недостаточностью,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 школах №№ 2 и 6 организованы ресурсные классы для детей с расстройством аутистического спектра;</w:t>
      </w:r>
    </w:p>
    <w:p w:rsidR="00A57EF2" w:rsidRDefault="006C2C66">
      <w:pPr>
        <w:spacing w:after="0"/>
        <w:ind w:firstLine="44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 обычных классах инклюзивно обучаются 437 детей с ограниченными возможностями здоровья и 173 ребенка-инвалида.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услуг психолого-педагогического сопровождения детей с ограниченными возможностями здоровья на территории Артемовского городского округа составила 100%.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теплоснабжения (производство тепловой энергии).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Теплоснабжение Артемовского городского округа осуществляется от отопительных котельных и Артемовской ТЭЦ. На территории округа расположены и функционируют 24 отопительные котельные, в том числе 10 – муниципальных.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Артемовская ТЭЦ является основным источником теплоснабжения на территории округа. Протяженность тепловых сетей составляет 157,2 км, в том числе 31,72 км. – муниципальные.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Система теплоснабжения двухтрубная, открытая (от ТПУ-2), закрытая (от ТПУ-1,3). Технологические потери при передаче тепловой энергии по Артемовскому городскому округу в целом составляют порядка 32-35%, износ системы – до 80%. Основными видами топлива на территории являются уголь, мазут, дизельное топливо.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Инженерно-технический анализ существующей системы теплоснабжения Артемовского городского округа показал, что основными проблемами теплоснабжения являются: масштабное старение (физическое и моральное) элементов системы, недостаточные объемы инвестирования в отрасль; снижение надежности; неэффективное использование топлива.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услуг в сфере теплоснабжения на территории Артемовского городского округа составила 75%.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выполнения работ по благоустройству городской среды.</w:t>
      </w:r>
    </w:p>
    <w:p w:rsidR="00A57EF2" w:rsidRDefault="006C2C66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 территории Артемовского городского округа находятся 62 общественные территории, из них: 11 парков, 12 скверов, 3 территории городских лесов, один памятник природы (Дубовая роща), 7 зон отдыха с пешеходными дорожками и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топиарными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фигурами, 7 озелененных территорий общего пользования, один пляж и одна рекреационная зона русла реки Озерные Ключи, 19 площадок для организации детского отдыха, детских игровых и спортивных площадок. </w:t>
      </w:r>
    </w:p>
    <w:p w:rsidR="00A57EF2" w:rsidRDefault="006C2C66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47 наиболее посещаемых муниципальных территорий общего пользования (мест массового отдыха жителей) включены в перечень общественных территорий, нуждающихся в благоустройстве (с учетом их физического состояния) и подлежащих благоустройству, государственной программы Приморского края, из них благоустроена - 41. </w:t>
      </w:r>
    </w:p>
    <w:p w:rsidR="00A57EF2" w:rsidRDefault="006C2C66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По состоянию на 1 января 2025 года на территории Артемовского городского округа 590 многоквартирных домов включены в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государственной программы Приморского края, из них 197 благоустроены в период с 2018-2024 годов.</w:t>
      </w:r>
    </w:p>
    <w:p w:rsidR="00A57EF2" w:rsidRDefault="006C2C66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Без реализации всех выше перечисленных задач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округа, а также обеспечить в полной мере безопасность жизнедеятельности и охрану окружающей среды.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Удовлетворенность населения качеством выполненных работ по благоустройству городской среды на территории Артемовского </w:t>
      </w:r>
      <w:r w:rsidR="00191028">
        <w:rPr>
          <w:rFonts w:ascii="Times New Roman" w:hAnsi="Times New Roman"/>
          <w:bCs/>
          <w:i/>
          <w:color w:val="000000" w:themeColor="text1"/>
          <w:sz w:val="28"/>
          <w:szCs w:val="28"/>
        </w:rPr>
        <w:t>городского округа составила 87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выполнения работ по содержанию и текущему ремонту общего имущества собственников помещения в многоквартирном доме.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Жилищный комплекс Артемовского городского округа составляет 2 690,4 тыс. кв. м. На территории округа расположено 953 многоквартирных дома, общей площадью 1806,6 тыс. кв. м.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По степени благоустройства жилищный фонд характеризуется следующими показателями: системой электроснабжения оборудовано 100,0% жилого фонда, холодным водоснабжением, водоотведением без горячего водоснабжением – 68%, холодным водоснабжением, канализацией и горячим водоснабжением - 24,5%, централизованным теплоснабжением – 69,3%.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Около 59% жилищного фонда имеет износ более 30% и нуждается в проведении капитального ремонта.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 рамках реализации краевой «Программы капитального ремонта общего имущества в многоквартирных домах, расположенных на территории Приморского края, на 2014-2055 годы» за 2015-2024 годы был проведен капитальный ремонт 184 многоквартирных домов.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По состоянию на 01.01.2025 на территории Артемовского городского округа действуют 24 управляющие компании, которые осуществляют управление 765 многоквартирными домами. В 33 многоквартирных домах в качестве способа управления выбрано товарищество собственников жилья, в 1 МКД – жилищно-строительный кооператив, в 24 многоквартирных домах – непосредственное управление.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качеством выполненных работ по содержанию и текущему ремонту общего имущества собственников помещения в многоквартирном доме на территории Артемовского городского округа составила 45%.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дорожной деятельности (за исключением проектирования).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 территории Артемовского городского округа зарегистрировано 12 субъектов малого и среднего предпринимательства, относящихся по виду деятельности к строительству автомобильных дорог, автомагистралей, мостов и тоннелей. А также муниципальное казенное учреждение «Управление благоустройства города Артема».</w:t>
      </w:r>
    </w:p>
    <w:p w:rsidR="00A57EF2" w:rsidRDefault="006C2C66">
      <w:pPr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«Осуществление дорожной деятельности на автомобильных дорогах общего пользования местного значения Артемовского городского округа».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За 2024 год МКУ «Управлением благоустройства города Артема» заключены муниципальные контракты с субъектами малого и среднего предпринимательства на выполнение работ по ремонту и содержанию автомобильных дорог на сумму 193,015 млн рублей. Объем работ по ремонту дорог составляет 35,119 тыс. кв. м.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МКУ «Управление строительства и капитального ремонта» заключены муниципальные контракты с субъектами малого и среднего предпринимательства на выполнение работ по реконструкции автомобильных дорог на сумму 104,425 млн рублей. Объем работ по ремонту дорог составляет 14,282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тыс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кв. м.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Удовлетворенность населения качеством услуг дорожной деятельности на территории Артемовского городского </w:t>
      </w:r>
      <w:r w:rsidRPr="006C2C66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округа </w:t>
      </w:r>
      <w:r w:rsidRPr="00191028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составила 82%.</w:t>
      </w:r>
    </w:p>
    <w:p w:rsidR="00A57EF2" w:rsidRDefault="006C2C66">
      <w:pPr>
        <w:spacing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пассажиров, выданных администрацией Артемовского городского округа по результатам конкурса на право осуществления пассажирских перевозок, и постановления администрации Артемовского городского округа от 29.10.2019 № 2235-па «О закреплении маршрутов за перевозчиками, оказывающими автотранспортные услуги населению на территории Артемовского городского округа».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За 2024 года перевезено 3263,939 тыс. пассажиров, что на 80 % выше предыдущего периода.</w:t>
      </w:r>
    </w:p>
    <w:p w:rsidR="00A57EF2" w:rsidRDefault="006C2C6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Удовлетворенность населения качеством услуг по перевозке пассажиров автомобильным транспортом по муниципальным маршрутам регулярных перевозок на территории Артемовского городского округа </w:t>
      </w:r>
      <w:r w:rsidR="00191028" w:rsidRPr="0019102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составила 88</w:t>
      </w:r>
      <w:r w:rsidRPr="0019102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%</w:t>
      </w:r>
      <w:r w:rsidRPr="00191028">
        <w:rPr>
          <w:rFonts w:ascii="Times New Roman" w:hAnsi="Times New Roman"/>
          <w:bCs/>
          <w:i/>
          <w:color w:val="000000" w:themeColor="text1"/>
          <w:sz w:val="28"/>
          <w:szCs w:val="28"/>
        </w:rPr>
        <w:t>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жилищного строительства.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За 2024 год выдано 4 разрешения на строительство многоквартирных жилых домов: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- группа многоквартирных домов в районе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у.Ляпидевского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, 2, в г. Артеме, жилой дом №1 с общей площадью квартир – 2828,7 кв. м., с количеством квартир – 57, жилой дом №2 с общей площадью квартир – 5043,8 кв. м., с количеством квартир – 94, жилой дом №3 с общей площадью квартир – 4285,7 кв. м., с количеством квартир – 82.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- жилого комплекса «Солнечный» в районе ул. Горького в. г. Артеме, Девятиэтажный жилой дом № 10 с общей площадью квартир – 2376,0 кв. м., с количеством квартир – 54;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группа Жилых домов в районе ул.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Анатлия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Ганжи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в г. Артеме, 1-2 этапы строительства, жилой дом №1 общей площадью квартир 1 576,42, с количеством квартир - 32; жилой дом № 2 общей площадью квартир 1 576,42, с количеством квартир - 32;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жилой комплекс «Солнечный» в районе ул. Куйбышева в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г.Артеме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, жилой комплекс № 27 в составе: встроенная подземная автостоянка. Жилой дом № 7.1, 7.2 общей жилой площадью 17 533,21 кв. м, количество квартир 339 шт.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Выдано 5 разрешений на ввод в эксплуатацию многоквартирных жилых домов: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- жилого комплекса «Солнечный» в районе ул. Горького в. г. Артеме, Девятиэтажный жилой дом № 10 с общей площадью квартир – 2376,0 кв. м., с количеством квартир – 54;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жилой комплекс из малоэтажных жилых домов расположенный в г. Артем, в районе ул. Портовая, 15 общая площадь 9608,9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из </w:t>
      </w:r>
      <w:proofErr w:type="gram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них:  жилой</w:t>
      </w:r>
      <w:proofErr w:type="gram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дом № 1 общая площадь 3812,8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, 82 кв., жилой дом №2 общая площадь 2100,8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48 кв. жилой дом №3 общая площадь 3695,3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76 кв. 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-  жилого комплекса в районе ул. Кирова, Красина,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Преживальского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, 2 – й этап строительства, многоквартирный жилой дом № 3, с общей площадью жилых помещений (с учетом балконов, лоджий, веранд и террас) – 8 260,5 кв. м., с количеством квартир – 192;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- многоквартирного жилого дома в районе ул. Ц.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Кневичи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в г. Артеме, с общей площадью жилых помещений с балконами 5 123,19 кв. м., с количеством квартир – 123.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– многофункциональный комплекс в районе ул. Совхозная, 2 в г. Артеме, 2 – й этап строительства, Дом -2 ул. Совхозная, 10а корп. 4 с общей площадью жилых помещений с балконами 5 917,1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с количеством квартир 128 шт., Дом -3 ул.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Савхозная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, 10а корп. 3 с общей площадью жилых помещений с балконами 5 855,1 кв. м., с количеством квартир – 144 шт.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Итого за 2024 год введено в эксплуатацию 8 жилых домов общей площадью 37 140, 79 кв. м.</w:t>
      </w:r>
    </w:p>
    <w:p w:rsidR="00A57EF2" w:rsidRDefault="006C2C66">
      <w:pPr>
        <w:spacing w:after="0"/>
        <w:ind w:firstLine="596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Решение жилищной проблемы является одним из главных направлений социально-экономического развития Артемовского городского округа. Процессу развития жилищного строительства препятствует главная проблема - отсутствие инженерной инфраструктуры (электроснабжение, водоснабжение, водоотведение, подъездные автомобильные дороги, проезды к земельным участкам) предоставляемым под жилую застройку.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в сфере жилищного строительства в 2024 году составила 92,5%.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 территории Артемовского городского округа по виду деятельности «строительство» зарегистрировано 309 организации и 420 индивидуальных предпринимателей.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За 2024 год выдано 33 разрешения на строительство и 30 разрешений на ввод в эксплуатацию объектов капитального строительства.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Общая площадь введенных объектов капитального строительства составила 35 785,1 кв. м.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Повышение общей стоимости строительных объектов, высокая стоимость земельных участков, особые условия использования территорий -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все эти факторы затрудняют темпы капитального строительства объектов.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в сфере строительства объектов капитального строительства, за исключением жилищного и дорожного строительства в 2024 году составила 94,5%.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Сфера наружной рекламы.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За 2024 год выдано 25 разрешений на установку рекламных конструкций. Составлено 5 предписаний о демонтаже самовольно установленных рекламных конструкций. Конкурсы </w:t>
      </w:r>
      <w:hyperlink r:id="rId10" w:tooltip="http://artemokrug.ru/poleznaya-informatsiya/%D0%BF%D1%80%D0%BE%D1%82%D0%BE%D0%BA%D0%BE%D0%BB%20%D0%B0%D1%83%D0%BA%D1%86%D0%B8%D0%BE%D0%BD%D0%B0%20%D0%BE%D1%82%2023.12.2020.pdf" w:history="1">
        <w:r>
          <w:rPr>
            <w:rFonts w:ascii="Times New Roman" w:hAnsi="Times New Roman"/>
            <w:i/>
            <w:color w:val="000000" w:themeColor="text1"/>
            <w:sz w:val="28"/>
            <w:szCs w:val="28"/>
          </w:rPr>
          <w:t>на право заключения договора на установку и эксплуатацию рекламных конструкций на земельных участках, находящихся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</w:t>
        </w:r>
      </w:hyperlink>
      <w:r>
        <w:rPr>
          <w:rFonts w:ascii="Times New Roman" w:hAnsi="Times New Roman"/>
          <w:i/>
          <w:color w:val="000000" w:themeColor="text1"/>
          <w:sz w:val="28"/>
          <w:szCs w:val="28"/>
        </w:rPr>
        <w:t>, не проводились.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Проблематика сферы наружной рекламы - высокая стоимость демонтажа незаконных рекламных конструкций; поиск собственников незаконных рекламных конструкций; ограниченное количество мест размещения рекламных конструкций.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в сфере наружной рекламы в 2024 году составила 87,4%.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ритуальных услуг.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 01.01.2025 в Артемовском городском округе на рынке ритуальных услуг осуществляют деятельность 18 организаций, из них 1 – муниципальное предприятие, 13 – индивидуальные предприниматели, 4 – юридические лица.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За 2024 год открылось одно предприятие, осуществляющее деятельность на рынке ритуальных услуг. Организация похоронного дела осуществляется администрацией Артемовского городского округа. Услуги по погребению оказывают специализированная служба МАУ «Ритуал-Сервис» и частные организации.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 31.12.2024 администрацией Артемовского городского округа произведена инвентаризация 75,65% кладбищ.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в сфере ритуальных услуг в 2024 году составила 96%.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розничной торговли.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На территории Артемовского городского округа на рынке розничной торговли осуществляют деятельность 16 торговых центров; 314 продовольственных магазина (в том числе 10 супермаркетов, 9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дискаунтеров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, 4 универсама); 226 промышленных магазинов (в том числе гипермаркет «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Лемана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Про»); 36 киосков; 141 павильон.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Предприятиями торговли обеспечены все населенные пункты Артемовского городского округа. Суммарная обеспеченность торговыми площадями составляет 325% от норматива, обеспеченность торговыми площадями продовольственных магазинов составляет 296%, непродовольственных магазинов – 340%. Обеспеченность населения Артемовского городского округа площадью объектов местного значения составляет 135%. Обеспеченность торговыми павильонами и киосками по продаже продовольственных товаров и сельскохозяйственной продукции составляет 100%, торговыми павильонами и киосками по продаже печатной продукции – 173%.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По состоянию на 01.01.2025 на территории округа функционируют 47 предприятий торговли социальной направленности: 33 магазина, 14 павильонов и киосков. 28 розничных магазинов Артемовского городского округа участвует в социальном проекте «Держим цены».</w:t>
      </w:r>
    </w:p>
    <w:p w:rsidR="00A57EF2" w:rsidRDefault="006C2C66">
      <w:pPr>
        <w:spacing w:after="0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Для наполнения рынка, создания условий для здоровой конкуренции и, как следствие, снижения цен, а также в качестве альтернативы созданию розничных рынков законодательством предусмотрена возможность организации ярмарок. Организациям, индивидуальным предпринимателям и гражданам, ведущим личное подсобное хозяйство, для реализации товаров на территории Артемовского городского округа за 12 месяцев 2024 года было предоставлено 290 мест. В Реестр ярмарочных площадок включено 23 места. На 13 площадках организуются регулярные ежедневные и еженедельные ярмарки по реализации продовольственных товаров и сельскохозяйственной продукции. На 3 площадках проведены праздничные ярмарки: Масленица, 8 Марта, День Победы, День защиты детей, День молодежи, День города. На 9 площадках проведены праздничные ярмарки по продаже ёлок. За отчетный период 2024 года выдано 13 разрешений на организацию ярмарок.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в сфере розничной торговли в 2024 году составила 93%.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бытовых услуг.</w:t>
      </w:r>
    </w:p>
    <w:p w:rsidR="00A57EF2" w:rsidRDefault="006C2C66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 состоянию на 01.01.2025 территории Артемовского городского округа функционируют 446 предприятие бытовых услуг.</w:t>
      </w:r>
    </w:p>
    <w:p w:rsidR="00A57EF2" w:rsidRDefault="006C2C66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ab/>
        <w:t>Наибольшую долю занимают парикмахерские (27%) и предприятия по техническому обслуживанию и ремонту автотранспорта (25%).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Обеспеченность бытовыми услугами населения Артемовского городского округа составляет 127%. За 2024 год открылось 17 предприятий бытового обслуживания населения, на которых создано 32 рабочих места. Двенадцать предприятий прекратили свою деятельность.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Удовлетворенность населения в сфере бытовых услуг в 2024 году составила 95%.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Рынок общественного питания.</w:t>
      </w:r>
    </w:p>
    <w:p w:rsidR="00A57EF2" w:rsidRDefault="006C2C66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 состоянию на 01.01.2025 рынок общественного питания включает в себя 148 предприятий: 10 ресторанов, 43 кафе, 9 баров, 22 закусочные, 43 предприятия быстрого обслуживания, 8 кофеен, 4 буфета, 9 столовых.</w:t>
      </w:r>
    </w:p>
    <w:p w:rsidR="00A57EF2" w:rsidRDefault="006C2C66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 общедоступных предприятиях общественного питания создано 5587 посадочных мест. Обеспеченность посадочными местами составляет 48 мест на одну тысячу жителей.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Удовлетворенность населения в сфере общественного питания в 2024 году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составила 95%.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структуре субъектов малого и среднего предпринимательства по состоянию на 31.12.2024 (10.01.2025) согласно данным Единого реестра субъектов малого и среднего предпринимательства наибольшую долю составляют индивидуальные предприниматели – 66,6%, остальная часть (33,4%) представлена юридическими лицами, которые в свою очередь имеют в своем составе малые предприятия - 8,3%, микро – 90,8% и средние предприятия – 0,9%. По состоянию на 31.12.2024 число субъектов малого и среднего предпринимательства возросло до 5126 (рост на 5,36%), в том числе число индивидуальных предпринимателей согласно Единого реестра составило 3416 ед. (рост на 7,29% по сравнению с 2023 г.), юридических лиц – 1710 ед. (рост на 1,73% по сравнению с 2023 г.)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видам экономической деятельности наибольшее число индивидуальных предпринимателей согласно Единому реестру занято: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оптовой и розничной торговле – 1484, число увеличилось на 5,8% к 2023 году;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операции с недвижимым имуществом – 138, число увеличилось на 7,0% к 2023 году;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транспортировка и хранение – 422, число увеличилось на 8,5% к 2023 году;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строительстве – 374, число увеличилось на 10,7% к 2023 году;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обрабатывающем производстве – 146, число увеличилось на 4,3% к 2023 году;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деятельности гостиниц и общественном питании – 145, число увеличилось на 1,4% к 2023 году.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Наибольшее число малых предприятий по состоянию на 31.12.2024 согласно Единому реестру занято: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оптовой и розничной торговле – 506, снижение на 2,5% по отношению к 2023 году%;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строительство – 272, рост к 2023 году на 6,7%;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операции с недвижимым имуществом – 132, снижение по отношению к 2023 году на 1,5%;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транспортировка и хранение – 246, снижение по отношению к 2023 году на 3,9%;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обрабатывающем производстве – 151, рост к 2023 году на 14,4%.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министерством экономического развития Приморского края разработаны анкеты и в информационно-телекоммуникационной сети «Интернет» проведено анкетирование субъектов предпринимательской деятельности в Артемовском городском округе.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завершению опроса результаты проведенного мониторинга министерством экономического развития Приморского края направлены в адрес администрации Артемовского городского округа для анализа.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данном мониторинге приняли участие 100 респондентов.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58% опрошенных – индивидуальные предприниматели, 42% - юридические лица. По осуществлению предпринимательской деятельности респонденты распределились следующим образом: 44,8% - более 5 лет, 41,4% - от 1 года до 5 лет, 10,3% - менее 1 года.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Наибольшее число опрошенных реализуют свои товары, услуги на локальных рынках – 84,5%, на региональном рынке – 8,6%.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Структура респондентов, принявших участие в опросе, по товарным рынкам, распределилась следующим образом (проценты):</w:t>
      </w:r>
    </w:p>
    <w:p w:rsidR="00A57EF2" w:rsidRDefault="006C2C66">
      <w:pPr>
        <w:pStyle w:val="Default"/>
        <w:spacing w:line="264" w:lineRule="auto"/>
        <w:jc w:val="both"/>
        <w:rPr>
          <w:bCs/>
          <w:i/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6371930" cy="3787870"/>
            <wp:effectExtent l="6349" t="6349" r="6349" b="634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48625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371928" cy="3787869"/>
                    </a:xfrm>
                    <a:prstGeom prst="rect">
                      <a:avLst/>
                    </a:prstGeom>
                    <a:ln w="12699">
                      <a:solidFill>
                        <a:schemeClr val="accent1">
                          <a:lumMod val="50196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57EF2" w:rsidRDefault="00A57EF2">
      <w:pPr>
        <w:pStyle w:val="Default"/>
        <w:spacing w:line="264" w:lineRule="auto"/>
        <w:jc w:val="both"/>
        <w:rPr>
          <w:bCs/>
          <w:i/>
          <w:color w:val="000000" w:themeColor="text1"/>
          <w:sz w:val="28"/>
          <w:szCs w:val="28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При оценке уровня конкуренции 36% опрошенных указывают что имеют наличие от 4 конкурентов, 31% отметили от 1 до 3 конкурентов, у 5% конкуренты отсутствуют, 8% респондентов затрудняются ответить, 20% опрошенных указали, что имеют большое количество конкурентов.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Количество конкурентов бизнеса за последние три года у 48% опрошенных увеличилось на 1-3 конкурента, у 16% - увеличилось более чем на 4 конкурента, у 27% - ситуация не изменилась, 7% респондентов затрудняются ответить.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Респонденты отметили основные меры по повышению конкуренции: обучение и переподготовка персонала (54%), новые способы продвижения продукции (маркетинговые стратегии) (32%), приобретение технического оборудования (44%), разработка новых модификаций и форм производимой продукции (расширение ассортимента) (15%), развитие и расширение системы представительств (торговые сети, филиалы и пр.) (7%), самостоятельное проведение научно-исследовательских, опытно-конструкторских или технологических работ (1%), приобретение технологий, патентов, лицензий, ноу-хау (11%). Не предпринимали никаких действий в данном направлении 15% опрошенных.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рамках проведенного мониторинга было предложено отметить следующие административные барьеры, которые являются наиболее существенными для ведения текущей деятельности или открытия нового бизнеса на товарных рынках: 10% отметили сложность получения доступа к земельным участкам, 10% отметили нестабильность российского законодательства, регулирующего предпринимательскую деятельность, 10% отметили сложность/затянутость процедуры получения лицензий, 39% отметили высокие налоги.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Также было предложено оценить уровень административных барьеров, являющихся наиболее существенными для ведения текущей деятельности или открытия нового бизнеса на рынке, 52% респондентов отметили что нет ограничений.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Респондентами оценены, насколько преодолимы административные барьеры для ведения текущей деятельности и открытия нового бизнеса на рынке, основном для бизнеса, который представляет респондент: 20% ответили административные барьеры есть, но они преодолимы без существенных затрат, 52% ответили нет административных барьеров, 10% респондентов ответили, что есть барьеры, преодолимые при осуществлении значительных затрат, по мнению 3% респондентов есть непреодолимые административные барьеры, 15% респондентов затрудняются ответить.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На вопрос об изменении уровня административных барьеров на рынках в течение последних трех лет, ответы распределились следующим образом: 42% - административные барьеры отсутствуют, как и раньше; 25% ответили, что бизнесу стало проще преодолевать административные барьеры, чем раньше; 4% административные барьеры полностью устранены. 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49% респондентов, принявших участие в опросе, отметили, что не сталкивались с дискриминационными условиями доступа на товарный рынок, основной для представленного бизнеса.</w:t>
      </w: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 w:rsidRPr="00DA7773">
        <w:rPr>
          <w:bCs/>
          <w:color w:val="000000" w:themeColor="text1"/>
          <w:sz w:val="28"/>
          <w:szCs w:val="28"/>
        </w:rPr>
        <w:t>2.4.3.</w:t>
      </w:r>
      <w:bookmarkStart w:id="0" w:name="_GoBack"/>
      <w:bookmarkEnd w:id="0"/>
      <w:r>
        <w:rPr>
          <w:bCs/>
          <w:color w:val="000000" w:themeColor="text1"/>
          <w:sz w:val="28"/>
          <w:szCs w:val="28"/>
        </w:rPr>
        <w:t xml:space="preserve">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рамках проведения ежегодного мониторинга удовлетворенности потребителей качеством товаров, работ, услуг на товарных рынках муниципального образования и состоянием ценовой конкуренции проведено анкетирование потребителей товаров, работ, услуг Артемовского городского округа.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К проведению анкетирования были привлечены</w:t>
      </w:r>
      <w:r>
        <w:rPr>
          <w:color w:val="000000" w:themeColor="text1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жители Артемовского городского округа, а также сотрудники предприятий и организаций, расположенные на территории городского округа.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При проведении анкетирования было предложено оценить: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1. Количество организаций предоставляющие следующие товары и услуги на рынках Артемовского городского округа.</w:t>
      </w:r>
      <w:r>
        <w:rPr>
          <w:bCs/>
          <w:i/>
          <w:color w:val="000000" w:themeColor="text1"/>
          <w:sz w:val="28"/>
          <w:szCs w:val="28"/>
        </w:rPr>
        <w:t xml:space="preserve"> Количество опрошенных 110 человек: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дошкольного образования: ответили «достаточно», «избыточно (много)» - 76,4% респондентов.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общего образования: ответили «достаточно», «избыточно (много)» - 63,6%.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дополнительного образования детей: ответили «достаточно», «избыточно (много)» - 73%.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детского отдыха и оздоровления: количество ответов «достаточно», «избыточно (много)» - 50%.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психолого-педагогического сопровождения детей с ограниченными возможностями здоровья: количество ответов «достаточно» - 42 %.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 количество ответов «достаточно», «избыточно (много)» - 65,5%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жилищного строительства: количество ответов «достаточно», «избыточно (много)» - 80%.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568" w:hanging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теплоснабжения: количество ответов «достаточно» - 67,3%.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выполнения работ по благоустройству городской среды: количество ответов «достаточно» - 63%.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выполнения работ по содержанию и текущему ремонту общего имущества собственников помещения в многоквартирном доме: количество ответов «достаточно» - 56,4%.</w:t>
      </w:r>
    </w:p>
    <w:p w:rsidR="00A57EF2" w:rsidRDefault="006C2C66">
      <w:pPr>
        <w:numPr>
          <w:ilvl w:val="0"/>
          <w:numId w:val="19"/>
        </w:numPr>
        <w:spacing w:after="0" w:line="264" w:lineRule="auto"/>
        <w:ind w:left="0" w:firstLine="284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Рынок дорожной деятельности (за исключением проектирования): количество опрошенных: количество ответов «достаточно», «избыточно (много)» - 56,4%.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строительства объектов капитального строительства, за исключением жилищного и дорожного строительства:</w:t>
      </w:r>
      <w:r>
        <w:rPr>
          <w:i/>
          <w:color w:val="000000" w:themeColor="text1"/>
          <w:sz w:val="28"/>
          <w:szCs w:val="28"/>
        </w:rPr>
        <w:t xml:space="preserve"> количество ответов </w:t>
      </w:r>
      <w:r>
        <w:rPr>
          <w:bCs/>
          <w:i/>
          <w:color w:val="000000" w:themeColor="text1"/>
          <w:sz w:val="28"/>
          <w:szCs w:val="28"/>
        </w:rPr>
        <w:t>«достаточно», «избыточно (много)» - 61%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Сфера наружной рекламы: количество ответов </w:t>
      </w:r>
      <w:r>
        <w:rPr>
          <w:bCs/>
          <w:i/>
          <w:color w:val="000000" w:themeColor="text1"/>
          <w:sz w:val="28"/>
          <w:szCs w:val="28"/>
        </w:rPr>
        <w:t>«достаточно», «избыточно (много)» -78,2%.</w:t>
      </w:r>
    </w:p>
    <w:p w:rsidR="00A57EF2" w:rsidRDefault="006C2C66">
      <w:pPr>
        <w:pStyle w:val="Default"/>
        <w:numPr>
          <w:ilvl w:val="0"/>
          <w:numId w:val="19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розничной торговли:</w:t>
      </w:r>
      <w:r>
        <w:rPr>
          <w:i/>
          <w:color w:val="000000" w:themeColor="text1"/>
          <w:sz w:val="28"/>
          <w:szCs w:val="28"/>
        </w:rPr>
        <w:t xml:space="preserve"> количество ответов </w:t>
      </w:r>
      <w:r>
        <w:rPr>
          <w:bCs/>
          <w:i/>
          <w:color w:val="000000" w:themeColor="text1"/>
          <w:sz w:val="28"/>
          <w:szCs w:val="28"/>
        </w:rPr>
        <w:t>«достаточно», «избыточно (много)» - 87,3%.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2. Удовлетворенность потребителей уровнем цен на следующие товары и услуги в Артемовском городском округе.</w:t>
      </w:r>
      <w:r>
        <w:rPr>
          <w:bCs/>
          <w:i/>
          <w:color w:val="000000" w:themeColor="text1"/>
          <w:sz w:val="28"/>
          <w:szCs w:val="28"/>
        </w:rPr>
        <w:t xml:space="preserve"> Количество опрошенных 110 человек: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312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дошкольного образования: количество ответов «удовлетворен» и «скорее удовлетворен» -64%.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312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общего образования: количество ответов «удовлетворен» и «скорее удовлетворен» - 69%.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312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дополнительного образования детей: количество ответов «удовлетворен» и «скорее удовлетворен» - 62%.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312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детского отдыха и оздоровления: количество ответов «удовлетворен» и «скорее удовлетворен» - 57,3%.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312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психолого-педагогического сопровождения детей с ограниченными возможностями здоровья: количество ответов «удовлетворен» и «скорее удовлетворен» - 46,4%.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312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 количество ответов «удовлетворен» и «скорее удовлетворен» - 67,3%.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28" w:firstLine="256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жилищного строительства: количество ответов «удовлетворен» и «скорее удовлетворен» - 62%.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теплоснабжения: количество ответов «удовлетворен» и «скорее удовлетворен» - 59,1%.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выполнения работ по благоустройству городской среды: количество ответов «удовлетворен» и «скорее удовлетворен» -67,3%.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выполнения работ по содержанию и текущему ремонту общего имущества собственников помещения в многоквартирном доме: количество ответов «удовлетворен» и «скорее удовлетворен» - 51%.</w:t>
      </w:r>
    </w:p>
    <w:p w:rsidR="00A57EF2" w:rsidRDefault="006C2C66">
      <w:pPr>
        <w:numPr>
          <w:ilvl w:val="0"/>
          <w:numId w:val="20"/>
        </w:numPr>
        <w:spacing w:after="0" w:line="264" w:lineRule="auto"/>
        <w:ind w:left="0" w:firstLine="284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Рынок дорожной деятельности (за исключением проектирования): количество опрошенных: количество ответов «удовлетворен» и «скорее удовлетворен» - 53%.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284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строительства объектов капитального строительства, за исключением жилищного и дорожного строительства: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количество ответов «удовлетворен» и «скорее удовлетворен» - 58,2%.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Сфера наружной рекламы: </w:t>
      </w:r>
      <w:r>
        <w:rPr>
          <w:bCs/>
          <w:i/>
          <w:color w:val="000000" w:themeColor="text1"/>
          <w:sz w:val="28"/>
          <w:szCs w:val="28"/>
        </w:rPr>
        <w:t>количество ответов «удовлетворен» и «скорее удовлетворен» - 60%.</w:t>
      </w:r>
    </w:p>
    <w:p w:rsidR="00A57EF2" w:rsidRDefault="006C2C66">
      <w:pPr>
        <w:pStyle w:val="Default"/>
        <w:numPr>
          <w:ilvl w:val="0"/>
          <w:numId w:val="20"/>
        </w:numPr>
        <w:spacing w:line="264" w:lineRule="auto"/>
        <w:ind w:left="0" w:firstLine="284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розничной торговли: количество ответов «удовлетворен» и «скорее удовлетворен» - 63%.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3. Удовлетворенность потребителей качеством следующих товаров и услуг в Артемовском городском округе.</w:t>
      </w:r>
      <w:r>
        <w:rPr>
          <w:bCs/>
          <w:i/>
          <w:color w:val="000000" w:themeColor="text1"/>
          <w:sz w:val="28"/>
          <w:szCs w:val="28"/>
        </w:rPr>
        <w:t xml:space="preserve"> Количество опрошенных 110 человек: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142" w:firstLine="426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дошкольного образования: количество ответов «удовлетворен» и «скорее удовлетворен» -75%.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142" w:firstLine="426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общего образования: количество ответов «удовлетворен» и «скорее удовлетворен» - 72%.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142" w:firstLine="426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дополнительного образования детей: количество ответов «удовлетворен» и «скорее удовлетворен» - 75%.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142" w:firstLine="426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детского отдыха и оздоровления: количество ответов «удовлетворен» и «скорее удовлетворен» - 63%.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услуг психолого-педагогического сопровождения детей с ограниченными возможностями здоровья: количество ответов «удовлетворен» и «скорее удовлетворен» - 54%.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 количество ответов «удовлетворен» и «скорее удовлетворен» - 63%.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жилищного строительства: количество ответов «удовлетворен» и «скорее удовлетворен» - 57,3%.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теплоснабжения: количество ответов «удовлетворен» и «скорее удовлетворен» - 67,3%.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выполнения работ по благоустройству городской среды: количество ответов «удовлетворен» и «скорее удовлетворен» -72%.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выполнения работ по содержанию и текущему ремонту общего имущества собственников помещения в многоквартирном доме: количество ответов «удовлетворен» и «скорее удовлетворен» -52%.</w:t>
      </w:r>
    </w:p>
    <w:p w:rsidR="00A57EF2" w:rsidRDefault="006C2C66">
      <w:pPr>
        <w:numPr>
          <w:ilvl w:val="0"/>
          <w:numId w:val="21"/>
        </w:numPr>
        <w:spacing w:after="0" w:line="264" w:lineRule="auto"/>
        <w:ind w:left="-284" w:firstLine="568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Рынок дорожной деятельности (за исключением проектирования): количество опрошенных: количество ответов «удовлетворен» и «скорее удовлетворен» - 50%.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строительства объектов капитального строительства, за исключением жилищного и дорожного строительства: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количество ответов «удовлетворен» и «скорее удовлетворен» - 55%.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bCs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Сфера наружной рекламы: </w:t>
      </w:r>
      <w:r>
        <w:rPr>
          <w:bCs/>
          <w:i/>
          <w:color w:val="000000" w:themeColor="text1"/>
          <w:sz w:val="28"/>
          <w:szCs w:val="28"/>
        </w:rPr>
        <w:t>количество ответов «удовлетворен» и «скорее удовлетворен» - 67,3%.</w:t>
      </w:r>
    </w:p>
    <w:p w:rsidR="00A57EF2" w:rsidRDefault="006C2C66">
      <w:pPr>
        <w:pStyle w:val="Default"/>
        <w:numPr>
          <w:ilvl w:val="0"/>
          <w:numId w:val="21"/>
        </w:numPr>
        <w:spacing w:line="264" w:lineRule="auto"/>
        <w:ind w:left="-284" w:firstLine="56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Рынок розничной торговли: количество ответов «удовлетворен» и «скорее удовлетворен» - 72%.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итогам проведенного мониторинга, можно сделать вывод, что респонденты в большей степени удовлетворены количеством организацией предоставляющие товары и услуги на рынках Артемовского городского округа, а также удовлетворены качеством и уровнем цен товаров и услуг.</w:t>
      </w:r>
    </w:p>
    <w:p w:rsidR="00A57EF2" w:rsidRDefault="00A57EF2">
      <w:pPr>
        <w:pStyle w:val="Default"/>
        <w:spacing w:line="264" w:lineRule="auto"/>
        <w:ind w:left="851"/>
        <w:jc w:val="both"/>
        <w:rPr>
          <w:bCs/>
          <w:i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целях открытости информация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конкуренции, размещается на официальном сайте органов местного самоуправления Артемовского городского округа в информационно-телекоммуникационной сети «Интернет» в разделе «Экономика» в подразделе «Развитие конкуренции в Артемовском городском округе»:</w:t>
      </w:r>
    </w:p>
    <w:p w:rsidR="00A57EF2" w:rsidRDefault="006C2C66">
      <w:pPr>
        <w:pStyle w:val="Default"/>
        <w:spacing w:line="264" w:lineRule="auto"/>
        <w:jc w:val="both"/>
        <w:rPr>
          <w:bCs/>
          <w:i/>
          <w:color w:val="000000" w:themeColor="text1"/>
        </w:rPr>
      </w:pPr>
      <w:hyperlink r:id="rId12" w:tooltip="https://artemokrug.gosuslugi.ru/deyatelnost/napravleniya-deyatelnosti/ekonom/konkurenciya-v-AGO/normativnye-dokumenty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https://artemokrug.gosuslugi.ru/deyatelnost/napravleniya-deyatelnosti/ekonom/konkurenciya-v-AGO/normativnye-dokumenty/</w:t>
        </w:r>
      </w:hyperlink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разделе размещены нормативные документы по внедрению Стандарта развития конкуренции в Приморском крае, информация о ходе выполнения мероприятий и развития конкурентной среды на рынках товаров и услуг, Соглашение о внедрении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округа, «дорожная карта» по содействию развитию конкуренции, развитию конкурентной среды в Артемовском городском округе, а также информация о реализации мероприятий «дорожной карты».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За отчетный период 2024 года проведен мониторинг (анкетирование)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товарных рынках Артемовского городского округа и деятельности по содействию развитию конкуренции, размещаемой на официальном сайте муниципального образования. В анкетировании приняли участие 110 респондентов. По мнению опрошенных, 78,2% оценили доступность информации о деятельности по содействию развитию конкуренции, размещаемой в открытом доступе, как «удовлетворительно» и «скорее удовлетворительно», 79,1% опрошенных удовлетворены уровнем понятности размещенной информации, 77,3 % выразили удобство получения данных.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Удовлетворенность доступностью информации: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 нормативной базе, связанной с внедрением Стандарта в регионе отметили 75,5% опрошенных;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 перечне товарных рынков для содействия развитию конкуренции в регионе – 75%.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76,4% респондентов удовлетворены предоставлением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по обеспечению доступности «дорожной карты» по содействию развитию конкуренции в регионе – 73%;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 проведенных обучающих мероприятиях для органов местного самоуправления региона -73%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 проведенных мониторингах в регионе и сформированном ежегодном докладе – 75% опрошенных.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Опрошенные респонденты предпочитают пользоваться источниками информации о состоянии конкурентной среды на рынках товаров, работ и услуг Приморского края и деятельности по содействию развитию конкуренции: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официальной информацией, размещенной на сайте уполномоченного органа в информационно-телекоммуникационной сети «Интернет» – 67% из опрошенных респондентов;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официальной информацией, размещенной на интернет-портале об инвестиционной деятельности в Приморском крае – 22%;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официальной информацией, размещенной на сайте Федеральной антимонопольной службы (ФАС) -12%;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информацией, размещенной на официальных сайтах других исполнительных органов государственной власти Приморского края и органов местного самоуправления в информационно-телекоммуникационной сети «Интернет» – 30%;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- 35,4% опрошенных предпочитают телевидение;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- 17,3% респондентов - печатные средства массовой информации;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- 7,3% опрошенных предпочитают радио;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- 25% - социальные блоги, порталы и прочие электронные ресурсы.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итогам проведенного мониторинга, можно сделать вывод, что респонденты в большей степени предпочитают пользоваться официальной информацией, размещенной на сайте уполномоченного органа в информационно-телекоммуникационный сети «Интернет». В целом все информационные источники о состоянии конкурентной среды на рынках товаров, работ и услуг Приморского края используются респондентами.</w:t>
      </w:r>
    </w:p>
    <w:p w:rsidR="00A57EF2" w:rsidRDefault="006C2C66">
      <w:pPr>
        <w:pStyle w:val="Default"/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2.4.5. 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конкуренции, развитию конкурентной среды на территории Артемовского городского округа включена информация по оптимизации процедур закупок товаров, работ и услуг хозяйствующими субъектами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действующим законодательством.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результатам деятельности унитарных предприятий, бюджетных учреждений, а также хозяйственных обществ сформирован Реестр (перечень) хозяйствующих субъектов, доля участия муниципального образования в которых составляет 50 и более процентов (далее – Реестр), с указанием рынка присутствия.</w:t>
      </w:r>
    </w:p>
    <w:p w:rsidR="00A57EF2" w:rsidRDefault="006C2C66">
      <w:pPr>
        <w:pStyle w:val="aff5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rFonts w:eastAsia="Calibri" w:cs="Times New Roman"/>
          <w:bCs/>
          <w:i/>
          <w:color w:val="000000" w:themeColor="text1"/>
          <w:sz w:val="28"/>
          <w:szCs w:val="28"/>
          <w:lang w:eastAsia="en-US" w:bidi="ar-SA"/>
        </w:rPr>
        <w:t>На 01 января 2025 года количество хозяйствующих субъектов увеличилось на 1 единицу в результате образования МАУ «Пассажирские перевозки».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Реестр размещен на официальном сайте Артемовского городского округа в разделе - «Развитие конкуренции в Артемовском городском округе».</w:t>
      </w:r>
    </w:p>
    <w:p w:rsidR="00A57EF2" w:rsidRDefault="006C2C66">
      <w:pPr>
        <w:pStyle w:val="Default"/>
        <w:spacing w:line="312" w:lineRule="auto"/>
        <w:ind w:firstLine="708"/>
        <w:jc w:val="both"/>
        <w:rPr>
          <w:bCs/>
          <w:i/>
          <w:color w:val="000000" w:themeColor="text1"/>
        </w:rPr>
      </w:pPr>
      <w:hyperlink r:id="rId13" w:tooltip="https://artemokrug.gosuslugi.ru/deyatelnost/napravleniya-deyatelnosti/ekonom/konkurenciya-v-AGO/reestr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https://artemokrug.gosuslugi.ru/deyatelnost/napravleniya-deyatelnosti/ekonom/konkurenciya-v-AGO/reestr/</w:t>
        </w:r>
      </w:hyperlink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2.4.6.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  <w:sz w:val="28"/>
          <w:szCs w:val="28"/>
        </w:rPr>
        <w:t>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муниципального образования Приморского края.</w:t>
      </w: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За 2024 год в анкетировании населения Артемовского городского округа о состоянии финансовой доступности, удовлетворенности работой финансовых организаций и предоставляемыми ими услугами приняли участие 41 человек.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результатам проведенного мониторинга банковские услуги остаются востребованными.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Основные финансовые продукты, которыми воспользовались опрашиваемые за последние 12 месяцев: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зарплатная карта – 82,9%,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расчетная (дебетовая) карта для получения пенсий и иных социальных выплат – 24,4%,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банковские вклады – 11%,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другая расчетная (дебетовая) карта, кроме зарплатной карты и (или) карты для получения пенсий и иных социальных выплат – 24,4%,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кредитная карта – 46,3%.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Очень востребован дистанционный доступ к банковскому счету: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- 51,2% опрошенных имеют расчетный счет,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- 24,4% пользовались услугами денежных переводов/платежи через интернет-банк с помощью стационарного компьютера или ноутбука (через веб-браузер),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- </w:t>
      </w:r>
      <w:r>
        <w:rPr>
          <w:i/>
          <w:color w:val="000000" w:themeColor="text1"/>
          <w:sz w:val="28"/>
          <w:szCs w:val="28"/>
        </w:rPr>
        <w:t>48,8%</w:t>
      </w:r>
      <w:r>
        <w:rPr>
          <w:color w:val="000000" w:themeColor="text1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пользовались услугами денежных переводов/платежи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- 68,3% пользовались услугами денежных переводов/платежи через мобильный банк с помощью специализированного мобильного приложения (программы) для смартфона или планшета,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- 17,1% пользовались услугами денежных переводов/платежи через мобильный банк посредством сообщений с использованием мобильного телефона - с помощью отправки смс на короткий номер.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Основными причинами, по которым респонденты не пользовались за последние 12 месяцев финансовыми продуктами, являются:</w:t>
      </w:r>
    </w:p>
    <w:p w:rsidR="00A57EF2" w:rsidRDefault="006C2C66">
      <w:pPr>
        <w:pStyle w:val="Default"/>
        <w:numPr>
          <w:ilvl w:val="0"/>
          <w:numId w:val="17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не доверяю банкам (кредитным организациям) - 2,4% респондентов;</w:t>
      </w:r>
    </w:p>
    <w:p w:rsidR="00A57EF2" w:rsidRDefault="006C2C66">
      <w:pPr>
        <w:pStyle w:val="Default"/>
        <w:numPr>
          <w:ilvl w:val="0"/>
          <w:numId w:val="17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не достаточно денег для хранения на счете/платежной карте - 7,3% респондентов;</w:t>
      </w:r>
    </w:p>
    <w:p w:rsidR="00A57EF2" w:rsidRDefault="006C2C66">
      <w:pPr>
        <w:pStyle w:val="Default"/>
        <w:numPr>
          <w:ilvl w:val="0"/>
          <w:numId w:val="17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обслуживание счета/платежной карты стоит слишком дорого - 4,9%; </w:t>
      </w:r>
    </w:p>
    <w:p w:rsidR="00A57EF2" w:rsidRDefault="006C2C66">
      <w:pPr>
        <w:pStyle w:val="Default"/>
        <w:numPr>
          <w:ilvl w:val="0"/>
          <w:numId w:val="17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платежная карта есть у других членов семьи - 7,3%.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За последние 12 месяцев воспользовались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респондентов от общего числа опрошенных пользователей </w:t>
      </w:r>
      <w:r>
        <w:rPr>
          <w:bCs/>
          <w:i/>
          <w:color w:val="000000" w:themeColor="text1"/>
          <w:sz w:val="28"/>
          <w:szCs w:val="28"/>
        </w:rPr>
        <w:t>страховыми услугами: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добровольное страхование жизни (например, на случай смерти, дожития до определенного возраста или срока либо наступления иного события; пенсионное страхование) – 26,8%,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другое добровольное страхование, кроме страхования жизни (</w:t>
      </w:r>
      <w:proofErr w:type="gramStart"/>
      <w:r>
        <w:rPr>
          <w:bCs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bCs/>
          <w:i/>
          <w:color w:val="000000" w:themeColor="text1"/>
          <w:sz w:val="28"/>
          <w:szCs w:val="28"/>
        </w:rPr>
        <w:t xml:space="preserve"> добровольное личное страхование от несчастных случаев и болезни, медицинское страхование) – 24,4%.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Страховые продукты не пользуются высоким потребительским спросом. Основными причинами, по которым респонденты не пользовались за последние 12 месяцев страховыми продуктами, респонденты отмечают:</w:t>
      </w:r>
    </w:p>
    <w:p w:rsidR="00A57EF2" w:rsidRDefault="006C2C66">
      <w:pPr>
        <w:pStyle w:val="Default"/>
        <w:numPr>
          <w:ilvl w:val="0"/>
          <w:numId w:val="18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19,5% стоимость страхового полиса слишком высокая;</w:t>
      </w:r>
    </w:p>
    <w:p w:rsidR="00A57EF2" w:rsidRDefault="006C2C66">
      <w:pPr>
        <w:pStyle w:val="Default"/>
        <w:numPr>
          <w:ilvl w:val="0"/>
          <w:numId w:val="18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12,2% не доверяют страховым организациям;</w:t>
      </w:r>
    </w:p>
    <w:p w:rsidR="00A57EF2" w:rsidRDefault="006C2C66">
      <w:pPr>
        <w:pStyle w:val="Default"/>
        <w:numPr>
          <w:ilvl w:val="0"/>
          <w:numId w:val="18"/>
        </w:numPr>
        <w:spacing w:line="264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34,1% не видят смысла в страховании.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Большинство респондентов не сталкивались с такими финансовыми организациями как </w:t>
      </w:r>
      <w:proofErr w:type="spellStart"/>
      <w:r>
        <w:rPr>
          <w:bCs/>
          <w:i/>
          <w:color w:val="000000" w:themeColor="text1"/>
          <w:sz w:val="28"/>
          <w:szCs w:val="28"/>
        </w:rPr>
        <w:t>микрофинансовые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 организации – 82,9%, кредитные потребительские кооперативы – 82,9%, ломбарды – 90,2%, субъекты страхового дела (страховые организации, общества взаимного страхования и страховые брокеры) – 73,2%, сельскохозяйственные кредитные потребительские кооперативы – 90,2%, негосударственные пенсионные фонды – 75,6%, брокеры – 92,7%.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Удовлетворенность в сфере финансовых услуг, осуществляемых на территории Артемовского городского округа, распределилась следующим образом: банки – ответы «скорее удовлетворен» и «полностью удовлетворен» - 63,4%, свое доверие банкам указали 58,5% опрошенных.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Удовлетворенность населения продуктами финансовых организаций распределились следующим образом: Банковские кредиты – 43,9%; вклады – 41,5%, расчетные карты, включая зарплатные – 65,9%; кредитные карты – 31,7%; банковские переводы и платежи – 73,2%.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Количеством и удобством расположения банковских отделений на территории Артемовского городского округа удовлетворены 48,8% опрошенных. Качеством дистанционного банковского обслуживания удовлетворены 56,1%. Удовлетворенность имеющимся выбором различных банков для получения необходимых банковских услуг составила 56,1%. Качеством интернет-связи удовлетворены 36,6% респондентов, качеством мобильной связи – 43,9%.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Наиболее доступны такие каналы предоставления финансовых услуг, расположенные в населенных пунктах Артемовского городского округа, как кассы в отделениях банков (60,9%), банкоматы или терминалы (устройство без функции выдачи наличных денежных средств) в отделении банка – 56,1%, банкоматы или терминалы (устройство без функции выдачи наличных денежных средств) вне отделения банка – 41,5%,</w:t>
      </w:r>
      <w:r>
        <w:rPr>
          <w:color w:val="000000" w:themeColor="text1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POS-терминалы для безналичной оплаты с помощью банковской карты в организациях торговли (услуг) - 48,8%, платежные терминалы для приема наличных денежных средств с целью оплаты товаров (услуг) – 48,8%, отделение почтовой связи – 51,2% 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2.5. Утверждение перечня товарных рынков.</w:t>
      </w:r>
    </w:p>
    <w:p w:rsidR="00A57EF2" w:rsidRDefault="006C2C66">
      <w:pPr>
        <w:pStyle w:val="aff5"/>
        <w:spacing w:line="264" w:lineRule="auto"/>
        <w:ind w:firstLine="708"/>
        <w:jc w:val="both"/>
        <w:rPr>
          <w:bCs/>
          <w:color w:val="000000" w:themeColor="text1"/>
        </w:rPr>
      </w:pPr>
      <w:r>
        <w:rPr>
          <w:i/>
          <w:color w:val="000000" w:themeColor="text1"/>
          <w:sz w:val="28"/>
          <w:szCs w:val="28"/>
        </w:rPr>
        <w:t>Распоряжением администрации Артемовского городского округа от               30 марта 2022 года № 151-ра утвержден перечень товарных рынков для содействия развитию конкуренции в Артемовском городском округе (далее – Перечень):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услуг дошкольного образования;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услуг общего образования;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услуг дополнительного образования детей;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услуг детского отдыха и оздоровления;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психолого-педагогического сопровождения детей с ограниченными возможностями здоровья;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теплоснабжения;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выполнения работ по благоустройству городской среды;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выполнения работ по содержанию и текущему ремонту общего имущества собственников помещения в многоквартирном доме;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дорожной деятельности (за исключением проектирования);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оказания услуг по перевозке пассажиров автомобильным транспортом по муниципальным маршрутам регулярных перевозок;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жилищного строительства;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строительства объектов капитального строительства, за исключением жилищного и дорожного строительства;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-сфера наружной рекламы;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ритуальных услуг;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розничной торговли;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бытовых услуг;</w:t>
      </w:r>
    </w:p>
    <w:p w:rsidR="00A57EF2" w:rsidRDefault="006C2C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-рынок общественного питания.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Перечень товарных рынков определен в соответствии с итогами мониторинга, а также рекомендациями министерства экономического развития Приморского края, на основании рекомендаций Общественной палаты Артемовского городского округа - коллегиального органа муниципального образования, утверждающего взаимоувязанные перечни товарных рынков для содействия развитию конкуренции в Артемовском городском округе.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Числовые значения целевых показателей «дорожной карты» по каждому рынку установлены на основании письма ФАС России от 19.07.2019                        № ИА/62387-пр/19 «О направлении примерного перечня мероприятий («дорожных карт») по содействию развитию конкуренции».</w:t>
      </w:r>
    </w:p>
    <w:p w:rsidR="00A57EF2" w:rsidRDefault="006C2C66">
      <w:pPr>
        <w:pStyle w:val="Default"/>
        <w:spacing w:line="264" w:lineRule="auto"/>
        <w:jc w:val="both"/>
        <w:rPr>
          <w:bCs/>
          <w:i/>
          <w:color w:val="000000" w:themeColor="text1"/>
        </w:rPr>
      </w:pPr>
      <w:hyperlink r:id="rId14" w:tooltip="https://artemokrug.gosuslugi.ru/deyatelnost/napravleniya-deyatelnosti/ekonom/konkurenciya-v-AGO/normativnye-dokumenty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https://artemokrug.gosuslugi.ru/deyatelnost/napravleniya-deyatelnosti/ekonom/konkurenciya-v-AGO/normativnye-dokumenty/</w:t>
        </w:r>
      </w:hyperlink>
    </w:p>
    <w:p w:rsidR="00A57EF2" w:rsidRDefault="00A57EF2">
      <w:pPr>
        <w:pStyle w:val="Default"/>
        <w:spacing w:line="264" w:lineRule="auto"/>
        <w:jc w:val="both"/>
        <w:rPr>
          <w:bCs/>
          <w:i/>
          <w:color w:val="000000" w:themeColor="text1"/>
        </w:rPr>
      </w:pPr>
    </w:p>
    <w:p w:rsidR="00A57EF2" w:rsidRDefault="006C2C66">
      <w:pPr>
        <w:pStyle w:val="Default"/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 Утверждение плана мероприятий («дорожной карты»).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Распоряжением администрации Артемовского городского округа от            30 марта 2022 года № 151-ра «Об утверждении плана мероприятий («дорожной карты») по содействию развитию конкуренции, развитию конкурентной среды в Артемовском городском округе»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(далее - Распоряжение) на территории Артемовского городского округа утвержден план мероприятий («дорожная карта») по содействию развитию конкуренции, развитию конкурентной среды в Артемовском городском округе на 2022-2025 годы.</w:t>
      </w:r>
    </w:p>
    <w:p w:rsidR="00A57EF2" w:rsidRDefault="006C2C66">
      <w:pPr>
        <w:pStyle w:val="Default"/>
        <w:spacing w:line="264" w:lineRule="auto"/>
        <w:jc w:val="both"/>
        <w:rPr>
          <w:bCs/>
          <w:i/>
          <w:color w:val="000000" w:themeColor="text1"/>
        </w:rPr>
      </w:pPr>
      <w:hyperlink r:id="rId15" w:tooltip="https://artemokrug.gosuslugi.ru/deyatelnost/napravleniya-deyatelnosti/ekonom/konkurenciya-v-AGO/normativnye-dokumenty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https://artemokrug.gosuslugi.ru/deyatelnost/napravleniya-deyatelnosti/ekonom/konkurenciya-v-AGO/normativnye-dokumenty/</w:t>
        </w:r>
      </w:hyperlink>
    </w:p>
    <w:p w:rsidR="00A57EF2" w:rsidRDefault="00A57EF2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A57EF2" w:rsidRDefault="006C2C66">
      <w:pPr>
        <w:pStyle w:val="Default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2.7. Подготовка ежегодного Доклада, сформированного в соответствии с положениями Стандарта.</w:t>
      </w:r>
    </w:p>
    <w:p w:rsidR="00A57EF2" w:rsidRDefault="00A57EF2">
      <w:pPr>
        <w:pStyle w:val="Default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Доклад о состоянии и развитии конкурентной среды на рынках товаров, работ и услуг Артемовского городского округа за 2024 год размещается на официальном сайте Артемовского городского округа </w:t>
      </w:r>
      <w:proofErr w:type="gramStart"/>
      <w:r>
        <w:rPr>
          <w:rStyle w:val="af3"/>
          <w:bCs/>
          <w:i/>
          <w:color w:val="000000" w:themeColor="text1"/>
          <w:sz w:val="28"/>
          <w:szCs w:val="28"/>
          <w:lang w:val="en-US"/>
        </w:rPr>
        <w:t>www</w:t>
      </w:r>
      <w:r>
        <w:rPr>
          <w:rStyle w:val="af3"/>
          <w:bCs/>
          <w:i/>
          <w:color w:val="000000" w:themeColor="text1"/>
          <w:sz w:val="28"/>
          <w:szCs w:val="28"/>
        </w:rPr>
        <w:t>.</w:t>
      </w:r>
      <w:proofErr w:type="spellStart"/>
      <w:r>
        <w:rPr>
          <w:rStyle w:val="af3"/>
          <w:bCs/>
          <w:i/>
          <w:color w:val="000000" w:themeColor="text1"/>
          <w:sz w:val="28"/>
          <w:szCs w:val="28"/>
          <w:lang w:val="en-US"/>
        </w:rPr>
        <w:t>artemokrug</w:t>
      </w:r>
      <w:proofErr w:type="spellEnd"/>
      <w:r>
        <w:rPr>
          <w:rStyle w:val="af3"/>
          <w:bCs/>
          <w:i/>
          <w:color w:val="000000" w:themeColor="text1"/>
          <w:sz w:val="28"/>
          <w:szCs w:val="28"/>
        </w:rPr>
        <w:t xml:space="preserve">.gosuslugi.ru </w:t>
      </w:r>
      <w:r>
        <w:rPr>
          <w:bCs/>
          <w:i/>
          <w:color w:val="000000" w:themeColor="text1"/>
          <w:sz w:val="28"/>
          <w:szCs w:val="28"/>
        </w:rPr>
        <w:t xml:space="preserve"> в</w:t>
      </w:r>
      <w:proofErr w:type="gramEnd"/>
      <w:r>
        <w:rPr>
          <w:bCs/>
          <w:i/>
          <w:color w:val="000000" w:themeColor="text1"/>
          <w:sz w:val="28"/>
          <w:szCs w:val="28"/>
        </w:rPr>
        <w:t xml:space="preserve"> информационно-телекоммуникационной сети «Интернет» в разделе «Деятельность» «Экономика» в подразделе «Развитие конкуренции в Артемовском городском округе».</w:t>
      </w:r>
    </w:p>
    <w:p w:rsidR="00A57EF2" w:rsidRDefault="006C2C66">
      <w:pPr>
        <w:pStyle w:val="Default"/>
        <w:jc w:val="both"/>
        <w:rPr>
          <w:bCs/>
          <w:i/>
          <w:color w:val="000000" w:themeColor="text1"/>
        </w:rPr>
      </w:pPr>
      <w:hyperlink r:id="rId16" w:tooltip="https://artemokrug.gosuslugi.ru/deyatelnost/napravleniya-deyatelnosti/ekonom/konkurenciya-v-AGO/doklad/" w:history="1">
        <w:r>
          <w:rPr>
            <w:rStyle w:val="af3"/>
            <w:bCs/>
            <w:i/>
            <w:color w:val="000000" w:themeColor="text1"/>
          </w:rPr>
          <w:t>https://artemokrug.gosuslugi.ru/deyatelnost/napravleniya-deyatelnosti/ekonom/konkurenciya-v-AGO/doklad/</w:t>
        </w:r>
      </w:hyperlink>
    </w:p>
    <w:p w:rsidR="00A57EF2" w:rsidRDefault="00A57EF2">
      <w:pPr>
        <w:pStyle w:val="Default"/>
        <w:spacing w:line="360" w:lineRule="auto"/>
        <w:jc w:val="both"/>
        <w:rPr>
          <w:bCs/>
          <w:i/>
          <w:color w:val="000000" w:themeColor="text1"/>
        </w:rPr>
      </w:pPr>
    </w:p>
    <w:p w:rsidR="00A57EF2" w:rsidRDefault="006C2C66">
      <w:pPr>
        <w:pStyle w:val="Default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Раздел 3. Сведения об эффекте, достигнутом при внедрении Стандарта</w:t>
      </w:r>
    </w:p>
    <w:p w:rsidR="00A57EF2" w:rsidRDefault="00A57EF2">
      <w:pPr>
        <w:pStyle w:val="Default"/>
        <w:spacing w:line="312" w:lineRule="auto"/>
        <w:jc w:val="both"/>
        <w:rPr>
          <w:b/>
          <w:bCs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В 2024 году достигнут </w:t>
      </w:r>
      <w:r>
        <w:rPr>
          <w:b/>
          <w:bCs/>
          <w:i/>
          <w:color w:val="000000" w:themeColor="text1"/>
          <w:sz w:val="28"/>
          <w:szCs w:val="28"/>
        </w:rPr>
        <w:t>108,1%</w:t>
      </w:r>
      <w:r>
        <w:rPr>
          <w:bCs/>
          <w:i/>
          <w:color w:val="000000" w:themeColor="text1"/>
          <w:sz w:val="28"/>
          <w:szCs w:val="28"/>
        </w:rPr>
        <w:t xml:space="preserve"> результат исполнения мероприятий, предусмотренных «дорожной картой» по содействию развитию конкуренции, развитию конкурентной среды в Артемовском городском округе.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 Услуги по присмотру и уходу индивидуальными предпринимателями на 01.01.2025 получили 136 воспитанников, из них в возрасте до 3 лет – 75 чел. (74 детей – 2023 год).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рамках реализацией государственной программы Приморского края «Развитие образования Приморского края на 2020-2027 годы», утвержденной постановлением администрации Приморского края от 16.12.2019 № 848-па, муниципальной программой «Развитие и модернизация образования Артемовского городского округа» осуществлена финансовая поддержка ИП </w:t>
      </w:r>
      <w:proofErr w:type="spellStart"/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Пидан</w:t>
      </w:r>
      <w:proofErr w:type="spellEnd"/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Э.В., ИП Попова Т.Л. в сумме 2323,01 тыс. руб. (краевой бюджет), 71,85 тыс. руб. (местный бюджет), направленная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A57EF2" w:rsidRDefault="006C2C66">
      <w:pPr>
        <w:spacing w:after="0" w:line="264" w:lineRule="auto"/>
        <w:ind w:firstLine="709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В рамках мероприятия «дорожной карты» по созданию новых мест в организациях, предоставляющих услуги дошкольного образования в 2024 году завершено строительство детского сада в микрорайоне Глобус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. Кроме того, негосударственными образовательными учреждениями дополнительного образования («</w:t>
      </w:r>
      <w:proofErr w:type="spellStart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Лингва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-плюс», «Формула успеха», «Академия будущего») оказываются услуги по основным образовательным программам дошкольного образования, охват детей составляет 478 чел., в том числе в возрасте до 3-х лет – 34 чел., от 3-х лет и старше – 444 чел.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Управлением образования администрации Артемовского городского округа предоставляется методическая и консультативная помощь частным учреждениям дополнительного образования детей, а также физическим лицам по вопросам организации образовательной деятельности, предоставляется возможность выбора программ дополнительного образования детей за счет средств бюджета в образовательных организациях любой формы собственности.</w:t>
      </w:r>
      <w:r>
        <w:rPr>
          <w:color w:val="000000" w:themeColor="text1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Предоставлены равные условия деятельности организаций дополнительного образования детей, повышен уровень информированности организаций, осуществляющих обучение, о мерах поддержки реализации программ дополнительного образования детей. Показатель «Доля организаций частной формы собственности в сфере услуг дополнительного образования» достигнут и перевыполнен на 61%.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По предоставлению услуг детского отдыха и оздоровления детей на территории Артемовского округа действует 28 организаций отдыха и оздоровления, в том числе 3 частной формы собственности, которые получают методическую и консультативную помощь по вопросам организации образовательной деятельности. Показатель составил 97,3% от плановых значений.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Все мероприятия по предоставлению услуг в сфере психолого-педагогического сопровождения детей с ограниченными возможностями здоровья выполнены более, чем в 2 раза. Созданы благоприятные условия для привлечения негосударственных организаций, в том числе социально ориентированных некоммерческих организаций, в сфере оказания услуг психолого-педагогического сопровождения детей с ограниченными возможностями здоровья.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рамках выполнения мероприятий в сфере рынка теплоснабжения (производства тепловой энергии) проведены кадастровые работы в отношении 19 объектов теплоснабжения. Объекты поставлены на учет, как бесхозяйные с целью дальнейшего признания их муниципальной собственностью.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 Мероприятия в сфере дорожной деятельности Артемовского городского округа исполнены на 100%. Разработаны рекомендации для государственных заказчиков по определению предельного объема работ в натуральном и (или) денежном выражении, который может быть включен в один лот, по каждому виду работ в сфере дорожной деятельности, в целях недопущения искусственного укрупнения лота и усиления конкуренции при осуществлении закупок. С субъектами малого и среднего предпринимательства за 2024 год заключены муниципальные контракты на сумму 193 015,14 тыс. руб.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Целевой показатель «дорожной карты» в сфере оказания услуг по перевозке пассажиров автомобильным транспортом по муниципальным маршрутам регулярных перевозок выполнен на 65%. </w:t>
      </w:r>
      <w:proofErr w:type="spellStart"/>
      <w:r>
        <w:rPr>
          <w:bCs/>
          <w:i/>
          <w:color w:val="000000" w:themeColor="text1"/>
          <w:sz w:val="28"/>
          <w:szCs w:val="28"/>
        </w:rPr>
        <w:t>Недостижение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 запланированного показателя обусловлено организацией МАУ «Пассажирские перевозки». Достигнут результат по обеспечению максимальной доступности информации и прозрачности условий работы на рынке пассажирских перевозок наземным транспортом, по вытеснению с рынка нелегальных перевозчиков и увеличение количества перевозчиков негосударственных форм собственности, наличие сети регулярных маршрутов, создание новых маршрутов, удовлетворение в полном объеме потребностей населения в перевозках.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Мероприятия, предусмотренные сектором жилищного строительства исполнены в полном объеме (100%). Управление архитектуры и градостроительства администрации Артемовского городского округа на постоянной основе размещает сведения на официальном сайте Артемовского городского округа </w:t>
      </w:r>
      <w:hyperlink r:id="rId17" w:tooltip="http://www.artemokrug.ru" w:history="1">
        <w:r>
          <w:rPr>
            <w:rStyle w:val="af3"/>
            <w:bCs/>
            <w:i/>
            <w:color w:val="000000" w:themeColor="text1"/>
            <w:sz w:val="28"/>
            <w:szCs w:val="28"/>
          </w:rPr>
          <w:t>www.artemokrug.</w:t>
        </w:r>
        <w:proofErr w:type="spellStart"/>
        <w:r>
          <w:rPr>
            <w:rStyle w:val="af3"/>
            <w:bCs/>
            <w:i/>
            <w:color w:val="000000" w:themeColor="text1"/>
            <w:sz w:val="28"/>
            <w:szCs w:val="28"/>
            <w:lang w:val="en-US"/>
          </w:rPr>
          <w:t>gosuslugi</w:t>
        </w:r>
        <w:proofErr w:type="spellEnd"/>
        <w:r>
          <w:rPr>
            <w:rStyle w:val="af3"/>
            <w:bCs/>
            <w:i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3"/>
            <w:bCs/>
            <w:i/>
            <w:color w:val="000000" w:themeColor="text1"/>
            <w:sz w:val="28"/>
            <w:szCs w:val="28"/>
          </w:rPr>
          <w:t>ru</w:t>
        </w:r>
        <w:proofErr w:type="spellEnd"/>
      </w:hyperlink>
      <w:r>
        <w:rPr>
          <w:bCs/>
          <w:i/>
          <w:color w:val="000000" w:themeColor="text1"/>
          <w:sz w:val="28"/>
          <w:szCs w:val="28"/>
        </w:rPr>
        <w:t>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-о технических условиях подключения (технологического присоединения) объекта капитального строительства к сетям инженерно-технического обеспечения (электро-, тепло-, газо-, водоснабжения, водоотведения) в документации о проведении аукциона по продаже права аренды земельных участков под строительство;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-информированность участников градостроительных отношений об актуальных планах по созданию объектов инфраструктуры;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-вовлечение в хозяйственный оборот земельных участков, находящихся в муниципальной собственности, в целях жилищного строительства, развития застроенных территорий, освоения территории, в целях строительства стандартного жилья, комплексного освоения земельных участков в целях строительства стандартного жилья.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Мероприятия «дорожной карты» в сфере услуг строительства объектов капитального строительства, за исключением жилищного и дорожного строительства выполнены на 100%. Результат исполнения мероприятий привел к</w:t>
      </w:r>
      <w:r>
        <w:rPr>
          <w:color w:val="000000" w:themeColor="text1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снижению административной нагрузки при прохождении процедур в сфере строительства, и к</w:t>
      </w:r>
      <w:r>
        <w:rPr>
          <w:color w:val="000000" w:themeColor="text1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повышению информированности хозяйствующих субъектов, осуществляющих деятельность на данном рынке.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Мероприятия, предусмотренные в сфере рынка ритуальных услуг исполнены на 100,3%. На 31.12.2024 проведена инвентаризация 75,65% кладбищ Артемовского городского округа. Реестр кладбищ и мест захоронения на них сформирован, реестр планируется разместить на региональном портале государственных и муниципальных услуг.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Управлением потребительского рынка и предпринимательства администрации Артемовского городского округа размещается вся информация для потребителей и организаций на официальном сайте Артемовского городского округа </w:t>
      </w:r>
      <w:hyperlink r:id="rId18" w:tooltip="http://www.artemokrug.ru" w:history="1">
        <w:proofErr w:type="gramStart"/>
        <w:r>
          <w:rPr>
            <w:rStyle w:val="af3"/>
            <w:bCs/>
            <w:i/>
            <w:color w:val="000000" w:themeColor="text1"/>
            <w:sz w:val="28"/>
            <w:szCs w:val="28"/>
          </w:rPr>
          <w:t>www.artemokrug.</w:t>
        </w:r>
        <w:proofErr w:type="spellStart"/>
        <w:r>
          <w:rPr>
            <w:rStyle w:val="af3"/>
            <w:bCs/>
            <w:i/>
            <w:color w:val="000000" w:themeColor="text1"/>
            <w:sz w:val="28"/>
            <w:szCs w:val="28"/>
            <w:lang w:val="en-US"/>
          </w:rPr>
          <w:t>gosuslugi</w:t>
        </w:r>
        <w:proofErr w:type="spellEnd"/>
        <w:r>
          <w:rPr>
            <w:rStyle w:val="af3"/>
            <w:bCs/>
            <w:i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3"/>
            <w:bCs/>
            <w:i/>
            <w:color w:val="000000" w:themeColor="text1"/>
            <w:sz w:val="28"/>
            <w:szCs w:val="28"/>
          </w:rPr>
          <w:t>ru</w:t>
        </w:r>
        <w:proofErr w:type="spellEnd"/>
      </w:hyperlink>
      <w:r>
        <w:rPr>
          <w:bCs/>
          <w:i/>
          <w:color w:val="000000" w:themeColor="text1"/>
          <w:sz w:val="28"/>
          <w:szCs w:val="28"/>
        </w:rPr>
        <w:t>.,</w:t>
      </w:r>
      <w:proofErr w:type="gramEnd"/>
      <w:r>
        <w:rPr>
          <w:bCs/>
          <w:i/>
          <w:color w:val="000000" w:themeColor="text1"/>
          <w:sz w:val="28"/>
          <w:szCs w:val="28"/>
        </w:rPr>
        <w:t xml:space="preserve"> по ссылке:</w:t>
      </w:r>
    </w:p>
    <w:p w:rsidR="00A57EF2" w:rsidRDefault="006C2C66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2"/>
          <w:szCs w:val="22"/>
        </w:rPr>
      </w:pPr>
      <w:hyperlink r:id="rId19" w:tooltip="https://artemokrug.gosuslugi.ru/ofitsialno/struktura-munitsipalnogo-obrazovaniya/administratsiya-artemovskogo-gorodskogo-okruga/strukturnye-podrazdeleniya/upravlenie-potrebitelskogo-rynka-i-predprinimatelstva/" w:history="1">
        <w:r>
          <w:rPr>
            <w:rStyle w:val="af3"/>
            <w:bCs/>
            <w:i/>
            <w:color w:val="000000" w:themeColor="text1"/>
            <w:sz w:val="22"/>
            <w:szCs w:val="22"/>
          </w:rPr>
          <w:t>https://artemokrug.gosuslugi.ru/ofitsialno/struktura-munitsipalnogo-obrazovaniya/administratsiya-artemovskogo-gorodskogo-okruga/strukturnye-podrazdeleniya/upravlenie-potrebitelskogo-rynka-i-predprinimatelstva/</w:t>
        </w:r>
      </w:hyperlink>
    </w:p>
    <w:p w:rsidR="00A57EF2" w:rsidRDefault="00A57EF2">
      <w:pPr>
        <w:pStyle w:val="Default"/>
        <w:spacing w:line="264" w:lineRule="auto"/>
        <w:ind w:firstLine="709"/>
        <w:jc w:val="both"/>
        <w:rPr>
          <w:bCs/>
          <w:i/>
          <w:color w:val="000000" w:themeColor="text1"/>
          <w:sz w:val="22"/>
          <w:szCs w:val="22"/>
        </w:rPr>
      </w:pPr>
    </w:p>
    <w:p w:rsidR="00A57EF2" w:rsidRDefault="006C2C66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Создание и поддержание максимально благоприятного климата для малого и среднего бизнеса является одним из приоритетных направлений в работе администрации Артемовского городского округа.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Предприятия малого бизнеса способствуют решению целого ряда социально-экономических задач.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 2024 году в рамках оказания информационной поддержки субъектам малого и среднего предпринимательства проводились следующие мероприятия. На официальном сайте Артемовского городского округа www.artemokrug.</w:t>
      </w:r>
      <w:proofErr w:type="spellStart"/>
      <w:r>
        <w:rPr>
          <w:bCs/>
          <w:i/>
          <w:color w:val="000000" w:themeColor="text1"/>
          <w:sz w:val="28"/>
          <w:szCs w:val="28"/>
          <w:lang w:val="en-US"/>
        </w:rPr>
        <w:t>gosuslugi</w:t>
      </w:r>
      <w:proofErr w:type="spellEnd"/>
      <w:r>
        <w:rPr>
          <w:bCs/>
          <w:i/>
          <w:color w:val="000000" w:themeColor="text1"/>
          <w:sz w:val="28"/>
          <w:szCs w:val="28"/>
        </w:rPr>
        <w:t>.</w:t>
      </w:r>
      <w:proofErr w:type="spellStart"/>
      <w:r>
        <w:rPr>
          <w:bCs/>
          <w:i/>
          <w:color w:val="000000" w:themeColor="text1"/>
          <w:sz w:val="28"/>
          <w:szCs w:val="28"/>
        </w:rPr>
        <w:t>ru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 страница «Малое и среднее предпринимательство» поддерживается в актуальном состоянии, в </w:t>
      </w:r>
      <w:proofErr w:type="spellStart"/>
      <w:r>
        <w:rPr>
          <w:bCs/>
          <w:i/>
          <w:color w:val="000000" w:themeColor="text1"/>
          <w:sz w:val="28"/>
          <w:szCs w:val="28"/>
        </w:rPr>
        <w:t>т.ч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. в электронном виде доступны: актуальная версия муниципальной программы «Развитие малого и среднего предпринимательства на территории Артемовского городского округа». Раздел «Информации» содержит полезные сведения от Росстата, проводимых форумах, семинарах для субъектов малого и среднего предпринимательства, проводимых опросах, конкурсах среди предпринимателей и прочую полезную информацию. 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В 2024 году продолжил свою работу Совет по улучшению инвестиционного климата и развитию предпринимательства при главе Артемовского городского круга. Было проведено 4 заседания Совета, на которых рассматривались актуальные вопросы для предпринимательского сообщества, с привлечением специалистов администрации Артемовского городского округа, руководителя краевого государственного казенного учреждения «Приморский центр занятости», МИФНС России № 10 по Приморскому краю, КГБ ПОУ «Артемовский колледж сервиса и дизайна». Информация о проделанной работе размещена на официальном сайте Артемовского городского округа.</w:t>
      </w:r>
    </w:p>
    <w:p w:rsidR="00A57EF2" w:rsidRDefault="006C2C66">
      <w:pPr>
        <w:pStyle w:val="Default"/>
        <w:spacing w:line="264" w:lineRule="auto"/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Оказана финансовая поддержка субъектам малого и среднего предпринимательства и социально ориентированным некоммерческим организациям в сумме 3800,00 тыс. руб.</w:t>
      </w:r>
    </w:p>
    <w:p w:rsidR="00A57EF2" w:rsidRDefault="00A57EF2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A57EF2" w:rsidRDefault="006C2C66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A57EF2" w:rsidRDefault="00A57EF2">
      <w:pPr>
        <w:pStyle w:val="Default"/>
        <w:spacing w:line="360" w:lineRule="auto"/>
        <w:jc w:val="both"/>
        <w:rPr>
          <w:bCs/>
          <w:i/>
          <w:color w:val="000000" w:themeColor="text1"/>
          <w:sz w:val="16"/>
          <w:szCs w:val="16"/>
        </w:rPr>
      </w:pPr>
    </w:p>
    <w:p w:rsidR="00A57EF2" w:rsidRDefault="006C2C66">
      <w:pPr>
        <w:pStyle w:val="Default"/>
        <w:spacing w:line="264" w:lineRule="auto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ab/>
        <w:t>В ходе взаимодействия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 все возникающие вопросы решались оперативно и быстро, в рабочем порядке.</w:t>
      </w:r>
    </w:p>
    <w:p w:rsidR="00A57EF2" w:rsidRDefault="00A57EF2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7EF2" w:rsidRDefault="00A57EF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  <w:sectPr w:rsidR="00A57EF2">
          <w:headerReference w:type="default" r:id="rId20"/>
          <w:footerReference w:type="default" r:id="rId21"/>
          <w:headerReference w:type="first" r:id="rId22"/>
          <w:pgSz w:w="11906" w:h="16838"/>
          <w:pgMar w:top="993" w:right="567" w:bottom="567" w:left="1247" w:header="459" w:footer="0" w:gutter="0"/>
          <w:pgNumType w:start="1"/>
          <w:cols w:space="708"/>
          <w:titlePg/>
          <w:docGrid w:linePitch="360"/>
        </w:sect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2"/>
      </w:tblGrid>
      <w:tr w:rsidR="00A57EF2">
        <w:tc>
          <w:tcPr>
            <w:tcW w:w="14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ind w:left="34" w:firstLine="709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5.  Сведения о достижении целевых значений контрольных показателей эффективности, установленных в муниципальной «дорожной карте»</w:t>
            </w:r>
          </w:p>
        </w:tc>
      </w:tr>
      <w:tr w:rsidR="00A57EF2">
        <w:tc>
          <w:tcPr>
            <w:tcW w:w="14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57EF2" w:rsidRDefault="00A57EF2">
      <w:pPr>
        <w:spacing w:after="0"/>
        <w:rPr>
          <w:color w:val="000000" w:themeColor="text1"/>
          <w:sz w:val="2"/>
          <w:szCs w:val="2"/>
        </w:rPr>
      </w:pPr>
    </w:p>
    <w:p w:rsidR="00A57EF2" w:rsidRDefault="00A57EF2">
      <w:pPr>
        <w:spacing w:after="0"/>
        <w:rPr>
          <w:color w:val="000000" w:themeColor="text1"/>
          <w:sz w:val="2"/>
          <w:szCs w:val="2"/>
        </w:rPr>
      </w:pPr>
    </w:p>
    <w:tbl>
      <w:tblPr>
        <w:tblW w:w="155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134"/>
        <w:gridCol w:w="1418"/>
        <w:gridCol w:w="1559"/>
        <w:gridCol w:w="1417"/>
        <w:gridCol w:w="1134"/>
        <w:gridCol w:w="1134"/>
        <w:gridCol w:w="1956"/>
        <w:gridCol w:w="1843"/>
      </w:tblGrid>
      <w:tr w:rsidR="00A57EF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Наименование 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рынка (направления системного мероприятия)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Исходное значение показателя 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Источник данных для расчета показателя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Удовлетворенность предпринимателей деятельностью органов власти, процентов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основных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-9432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-9338 человек. Удовлетворены 99%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8960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95%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9338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99%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- 5 человек.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-5 человек. 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услуг общего образования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обучающихся в частных образовательных организациях, реализующих основные общеобразовательные программы-общеобразовательные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9432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-9054 человек. Удовлетворены 96%</w:t>
            </w:r>
          </w:p>
          <w:p w:rsidR="00A57EF2" w:rsidRDefault="00A57EF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8677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92%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8772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93%</w:t>
            </w:r>
          </w:p>
          <w:p w:rsidR="00A57EF2" w:rsidRDefault="00A57EF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Проценты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- 9432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-9432 человек. Удовлетворены 100%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8583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91%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8394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Удовлетворены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89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- 4 человек.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- 3 человек. Удовлетворены 75%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услуг детского отдыха и оздоровления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9432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-9432 человек. Удовлетворены 100%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8489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90%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8677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92%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- 5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- 5 человек. Удовлетворены 100 %</w:t>
            </w:r>
          </w:p>
        </w:tc>
      </w:tr>
      <w:tr w:rsidR="00A57EF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-9432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-9432 человек. Удовлетворены 100%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7451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79%</w:t>
            </w:r>
          </w:p>
          <w:p w:rsidR="00A57EF2" w:rsidRDefault="00A57EF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«удовлетворен» и скорее удовлетворен» количеством организаций – 8300     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88%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57EF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теплоснабжения (производство тепловой энергии)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теплоснабжения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135 человек;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-101 человека; удовлетворены 75% респондентов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–61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45%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81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60%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-5 человек;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-5 человека; удовлетворены 100% респондентов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выполнения работ по благоустройству городской среды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- 55 человек; </w:t>
            </w:r>
          </w:p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вопросам качества - 48 человек.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87%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4 человек; </w:t>
            </w:r>
          </w:p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вопросам качества - 3 человека.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75%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Рынок выполнения работ по содержанию и текущему ремонту общего имущества собственников помещения 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многоквартир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-ном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доме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135 человек; </w:t>
            </w:r>
          </w:p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вопросам качества -61 человек.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45%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61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45%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–81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60%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- 3 человек; </w:t>
            </w:r>
          </w:p>
          <w:p w:rsidR="00A57EF2" w:rsidRDefault="006C2C6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вопросам качества - 3 человек.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дорожной деятельности (за исключением проектирования)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55 человек;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- 45 человека; удовлетворены 82% респондентов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4 человек;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- 4 человека; удовлетворены 100% респондентов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-55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-48 человека. Удовлетворены 88%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47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86%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3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- 3 человека. 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Рынок жилищного строительства 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- 95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-89 человека. Удовлетворены 92,5%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–87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92,1%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90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3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-3 человека. 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-95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- 90 человек. Удовлетворены 94,5%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89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94,2%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83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87,4%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-4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-4 человека.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Сфера наружной рекламы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-95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-83 человек. Удовлетворены 87,4%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–71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74,6%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71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75%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-4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– 4 человека.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100%</w:t>
            </w:r>
          </w:p>
        </w:tc>
      </w:tr>
      <w:tr w:rsidR="00A57EF2">
        <w:trPr>
          <w:trHeight w:val="2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ритуальных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Приказом ФАС России от 29.08.2018 № 1232/18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-37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-35 человек. Удовлетворены 96%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–28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75%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36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99%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3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- 3 человека. 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розничной торговли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количества нестационарных и мобильных торговых объектов (не менее чем на 10% в 2025 году по отношению к 2020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-37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-34 человек. Удовлетворены 93%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–30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80%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36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97%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- 16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– 11 человек. Удовлетворены 69%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бытовых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на рынке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-37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-35 человек. Удовлетворены 95%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31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83%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36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96%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5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– 5 человек. Удовлетворены 100%</w:t>
            </w:r>
          </w:p>
        </w:tc>
      </w:tr>
      <w:tr w:rsidR="00A57E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Рынок общественного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организаций частной формы собственности в сфере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-37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-35 человек. Удовлетворены 95%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по вопросам цены – 32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86%</w:t>
            </w:r>
          </w:p>
          <w:p w:rsidR="00A57EF2" w:rsidRDefault="00A5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опрошенных «удовлетворен» и «скорее удовлетворен» количеством организаций – 35 человек.</w:t>
            </w:r>
          </w:p>
          <w:p w:rsidR="00A57EF2" w:rsidRDefault="006C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Удовлетворены 95%</w:t>
            </w:r>
          </w:p>
          <w:p w:rsidR="00A57EF2" w:rsidRDefault="00A57EF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опрошенных – 14 человек. </w:t>
            </w:r>
          </w:p>
          <w:p w:rsidR="00A57EF2" w:rsidRDefault="006C2C6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ответов «удовлетворен» и «скорее удовлетворен» по вопросам качества – 10 человек. Удовлетворены 71%</w:t>
            </w:r>
          </w:p>
        </w:tc>
      </w:tr>
    </w:tbl>
    <w:p w:rsidR="00A57EF2" w:rsidRDefault="00A57EF2">
      <w:pPr>
        <w:rPr>
          <w:color w:val="000000" w:themeColor="text1"/>
        </w:rPr>
      </w:pPr>
    </w:p>
    <w:sectPr w:rsidR="00A57EF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66" w:rsidRDefault="006C2C66">
      <w:pPr>
        <w:spacing w:after="0" w:line="240" w:lineRule="auto"/>
      </w:pPr>
      <w:r>
        <w:separator/>
      </w:r>
    </w:p>
  </w:endnote>
  <w:endnote w:type="continuationSeparator" w:id="0">
    <w:p w:rsidR="006C2C66" w:rsidRDefault="006C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66" w:rsidRDefault="006C2C66">
    <w:pPr>
      <w:pStyle w:val="af"/>
      <w:tabs>
        <w:tab w:val="clear" w:pos="4677"/>
        <w:tab w:val="clear" w:pos="9355"/>
        <w:tab w:val="left" w:pos="924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66" w:rsidRDefault="006C2C66">
      <w:pPr>
        <w:spacing w:after="0" w:line="240" w:lineRule="auto"/>
      </w:pPr>
      <w:r>
        <w:separator/>
      </w:r>
    </w:p>
  </w:footnote>
  <w:footnote w:type="continuationSeparator" w:id="0">
    <w:p w:rsidR="006C2C66" w:rsidRDefault="006C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66" w:rsidRDefault="006C2C66">
    <w:pPr>
      <w:pStyle w:val="ad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DA7773"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66" w:rsidRDefault="006C2C66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96F"/>
    <w:multiLevelType w:val="hybridMultilevel"/>
    <w:tmpl w:val="9776EEFA"/>
    <w:lvl w:ilvl="0" w:tplc="973A1350">
      <w:start w:val="1"/>
      <w:numFmt w:val="decimal"/>
      <w:lvlText w:val="%1)"/>
      <w:lvlJc w:val="left"/>
      <w:pPr>
        <w:ind w:left="1211" w:hanging="360"/>
      </w:pPr>
    </w:lvl>
    <w:lvl w:ilvl="1" w:tplc="38824250">
      <w:start w:val="1"/>
      <w:numFmt w:val="lowerLetter"/>
      <w:lvlText w:val="%2."/>
      <w:lvlJc w:val="left"/>
      <w:pPr>
        <w:ind w:left="1788" w:hanging="360"/>
      </w:pPr>
    </w:lvl>
    <w:lvl w:ilvl="2" w:tplc="887691F2">
      <w:start w:val="1"/>
      <w:numFmt w:val="lowerRoman"/>
      <w:lvlText w:val="%3."/>
      <w:lvlJc w:val="right"/>
      <w:pPr>
        <w:ind w:left="2508" w:hanging="180"/>
      </w:pPr>
    </w:lvl>
    <w:lvl w:ilvl="3" w:tplc="96A0EAC8">
      <w:start w:val="1"/>
      <w:numFmt w:val="decimal"/>
      <w:lvlText w:val="%4."/>
      <w:lvlJc w:val="left"/>
      <w:pPr>
        <w:ind w:left="3228" w:hanging="360"/>
      </w:pPr>
    </w:lvl>
    <w:lvl w:ilvl="4" w:tplc="BB567FB0">
      <w:start w:val="1"/>
      <w:numFmt w:val="lowerLetter"/>
      <w:lvlText w:val="%5."/>
      <w:lvlJc w:val="left"/>
      <w:pPr>
        <w:ind w:left="3948" w:hanging="360"/>
      </w:pPr>
    </w:lvl>
    <w:lvl w:ilvl="5" w:tplc="0D4A25AE">
      <w:start w:val="1"/>
      <w:numFmt w:val="lowerRoman"/>
      <w:lvlText w:val="%6."/>
      <w:lvlJc w:val="right"/>
      <w:pPr>
        <w:ind w:left="4668" w:hanging="180"/>
      </w:pPr>
    </w:lvl>
    <w:lvl w:ilvl="6" w:tplc="D854AA3A">
      <w:start w:val="1"/>
      <w:numFmt w:val="decimal"/>
      <w:lvlText w:val="%7."/>
      <w:lvlJc w:val="left"/>
      <w:pPr>
        <w:ind w:left="5388" w:hanging="360"/>
      </w:pPr>
    </w:lvl>
    <w:lvl w:ilvl="7" w:tplc="16BA2ECC">
      <w:start w:val="1"/>
      <w:numFmt w:val="lowerLetter"/>
      <w:lvlText w:val="%8."/>
      <w:lvlJc w:val="left"/>
      <w:pPr>
        <w:ind w:left="6108" w:hanging="360"/>
      </w:pPr>
    </w:lvl>
    <w:lvl w:ilvl="8" w:tplc="9A9E1DD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125294"/>
    <w:multiLevelType w:val="hybridMultilevel"/>
    <w:tmpl w:val="86DAC7E0"/>
    <w:lvl w:ilvl="0" w:tplc="89B6AC6C">
      <w:start w:val="1"/>
      <w:numFmt w:val="decimal"/>
      <w:lvlText w:val="%1)"/>
      <w:lvlJc w:val="left"/>
      <w:pPr>
        <w:ind w:left="1211" w:hanging="360"/>
      </w:pPr>
    </w:lvl>
    <w:lvl w:ilvl="1" w:tplc="45E27AFC">
      <w:start w:val="1"/>
      <w:numFmt w:val="lowerLetter"/>
      <w:lvlText w:val="%2."/>
      <w:lvlJc w:val="left"/>
      <w:pPr>
        <w:ind w:left="1788" w:hanging="360"/>
      </w:pPr>
    </w:lvl>
    <w:lvl w:ilvl="2" w:tplc="A1D4BAE6">
      <w:start w:val="1"/>
      <w:numFmt w:val="lowerRoman"/>
      <w:lvlText w:val="%3."/>
      <w:lvlJc w:val="right"/>
      <w:pPr>
        <w:ind w:left="2508" w:hanging="180"/>
      </w:pPr>
    </w:lvl>
    <w:lvl w:ilvl="3" w:tplc="AB88F048">
      <w:start w:val="1"/>
      <w:numFmt w:val="decimal"/>
      <w:lvlText w:val="%4."/>
      <w:lvlJc w:val="left"/>
      <w:pPr>
        <w:ind w:left="3228" w:hanging="360"/>
      </w:pPr>
    </w:lvl>
    <w:lvl w:ilvl="4" w:tplc="91ACE7CE">
      <w:start w:val="1"/>
      <w:numFmt w:val="lowerLetter"/>
      <w:lvlText w:val="%5."/>
      <w:lvlJc w:val="left"/>
      <w:pPr>
        <w:ind w:left="3948" w:hanging="360"/>
      </w:pPr>
    </w:lvl>
    <w:lvl w:ilvl="5" w:tplc="4ECA0BF8">
      <w:start w:val="1"/>
      <w:numFmt w:val="lowerRoman"/>
      <w:lvlText w:val="%6."/>
      <w:lvlJc w:val="right"/>
      <w:pPr>
        <w:ind w:left="4668" w:hanging="180"/>
      </w:pPr>
    </w:lvl>
    <w:lvl w:ilvl="6" w:tplc="6EA65660">
      <w:start w:val="1"/>
      <w:numFmt w:val="decimal"/>
      <w:lvlText w:val="%7."/>
      <w:lvlJc w:val="left"/>
      <w:pPr>
        <w:ind w:left="5388" w:hanging="360"/>
      </w:pPr>
    </w:lvl>
    <w:lvl w:ilvl="7" w:tplc="27ECD740">
      <w:start w:val="1"/>
      <w:numFmt w:val="lowerLetter"/>
      <w:lvlText w:val="%8."/>
      <w:lvlJc w:val="left"/>
      <w:pPr>
        <w:ind w:left="6108" w:hanging="360"/>
      </w:pPr>
    </w:lvl>
    <w:lvl w:ilvl="8" w:tplc="2D7C3CE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51597"/>
    <w:multiLevelType w:val="hybridMultilevel"/>
    <w:tmpl w:val="05F0240E"/>
    <w:lvl w:ilvl="0" w:tplc="8C9A83A0">
      <w:start w:val="6"/>
      <w:numFmt w:val="bullet"/>
      <w:lvlText w:val=""/>
      <w:lvlJc w:val="left"/>
      <w:pPr>
        <w:ind w:left="558" w:hanging="360"/>
      </w:pPr>
      <w:rPr>
        <w:rFonts w:ascii="Symbol" w:eastAsia="Calibri" w:hAnsi="Symbol" w:cs="Times New Roman"/>
      </w:rPr>
    </w:lvl>
    <w:lvl w:ilvl="1" w:tplc="FE909848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/>
      </w:rPr>
    </w:lvl>
    <w:lvl w:ilvl="2" w:tplc="780E0EFC">
      <w:start w:val="1"/>
      <w:numFmt w:val="bullet"/>
      <w:lvlText w:val=""/>
      <w:lvlJc w:val="left"/>
      <w:pPr>
        <w:ind w:left="1998" w:hanging="360"/>
      </w:pPr>
      <w:rPr>
        <w:rFonts w:ascii="Wingdings" w:hAnsi="Wingdings"/>
      </w:rPr>
    </w:lvl>
    <w:lvl w:ilvl="3" w:tplc="220C8AC8">
      <w:start w:val="1"/>
      <w:numFmt w:val="bullet"/>
      <w:lvlText w:val=""/>
      <w:lvlJc w:val="left"/>
      <w:pPr>
        <w:ind w:left="2718" w:hanging="360"/>
      </w:pPr>
      <w:rPr>
        <w:rFonts w:ascii="Symbol" w:hAnsi="Symbol"/>
      </w:rPr>
    </w:lvl>
    <w:lvl w:ilvl="4" w:tplc="7EEECEAC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/>
      </w:rPr>
    </w:lvl>
    <w:lvl w:ilvl="5" w:tplc="4BA8DBFE">
      <w:start w:val="1"/>
      <w:numFmt w:val="bullet"/>
      <w:lvlText w:val=""/>
      <w:lvlJc w:val="left"/>
      <w:pPr>
        <w:ind w:left="4158" w:hanging="360"/>
      </w:pPr>
      <w:rPr>
        <w:rFonts w:ascii="Wingdings" w:hAnsi="Wingdings"/>
      </w:rPr>
    </w:lvl>
    <w:lvl w:ilvl="6" w:tplc="605E5D54">
      <w:start w:val="1"/>
      <w:numFmt w:val="bullet"/>
      <w:lvlText w:val=""/>
      <w:lvlJc w:val="left"/>
      <w:pPr>
        <w:ind w:left="4878" w:hanging="360"/>
      </w:pPr>
      <w:rPr>
        <w:rFonts w:ascii="Symbol" w:hAnsi="Symbol"/>
      </w:rPr>
    </w:lvl>
    <w:lvl w:ilvl="7" w:tplc="FB5ED144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/>
      </w:rPr>
    </w:lvl>
    <w:lvl w:ilvl="8" w:tplc="C242EDD4">
      <w:start w:val="1"/>
      <w:numFmt w:val="bullet"/>
      <w:lvlText w:val=""/>
      <w:lvlJc w:val="left"/>
      <w:pPr>
        <w:ind w:left="6318" w:hanging="360"/>
      </w:pPr>
      <w:rPr>
        <w:rFonts w:ascii="Wingdings" w:hAnsi="Wingdings"/>
      </w:rPr>
    </w:lvl>
  </w:abstractNum>
  <w:abstractNum w:abstractNumId="3" w15:restartNumberingAfterBreak="0">
    <w:nsid w:val="27732208"/>
    <w:multiLevelType w:val="hybridMultilevel"/>
    <w:tmpl w:val="9DCC14C0"/>
    <w:lvl w:ilvl="0" w:tplc="849A74A6">
      <w:start w:val="1"/>
      <w:numFmt w:val="decimal"/>
      <w:lvlText w:val="%1."/>
      <w:lvlJc w:val="left"/>
      <w:pPr>
        <w:ind w:left="819" w:hanging="360"/>
      </w:pPr>
    </w:lvl>
    <w:lvl w:ilvl="1" w:tplc="6A68A828">
      <w:start w:val="1"/>
      <w:numFmt w:val="lowerLetter"/>
      <w:lvlText w:val="%2."/>
      <w:lvlJc w:val="left"/>
      <w:pPr>
        <w:ind w:left="1539" w:hanging="360"/>
      </w:pPr>
    </w:lvl>
    <w:lvl w:ilvl="2" w:tplc="7B4C7E96">
      <w:start w:val="1"/>
      <w:numFmt w:val="lowerRoman"/>
      <w:lvlText w:val="%3."/>
      <w:lvlJc w:val="right"/>
      <w:pPr>
        <w:ind w:left="2259" w:hanging="180"/>
      </w:pPr>
    </w:lvl>
    <w:lvl w:ilvl="3" w:tplc="ABB6EE02">
      <w:start w:val="1"/>
      <w:numFmt w:val="decimal"/>
      <w:lvlText w:val="%4."/>
      <w:lvlJc w:val="left"/>
      <w:pPr>
        <w:ind w:left="2979" w:hanging="360"/>
      </w:pPr>
    </w:lvl>
    <w:lvl w:ilvl="4" w:tplc="4258837C">
      <w:start w:val="1"/>
      <w:numFmt w:val="lowerLetter"/>
      <w:lvlText w:val="%5."/>
      <w:lvlJc w:val="left"/>
      <w:pPr>
        <w:ind w:left="3699" w:hanging="360"/>
      </w:pPr>
    </w:lvl>
    <w:lvl w:ilvl="5" w:tplc="BE3EDB56">
      <w:start w:val="1"/>
      <w:numFmt w:val="lowerRoman"/>
      <w:lvlText w:val="%6."/>
      <w:lvlJc w:val="right"/>
      <w:pPr>
        <w:ind w:left="4419" w:hanging="180"/>
      </w:pPr>
    </w:lvl>
    <w:lvl w:ilvl="6" w:tplc="32624C56">
      <w:start w:val="1"/>
      <w:numFmt w:val="decimal"/>
      <w:lvlText w:val="%7."/>
      <w:lvlJc w:val="left"/>
      <w:pPr>
        <w:ind w:left="5139" w:hanging="360"/>
      </w:pPr>
    </w:lvl>
    <w:lvl w:ilvl="7" w:tplc="DCAAFDF2">
      <w:start w:val="1"/>
      <w:numFmt w:val="lowerLetter"/>
      <w:lvlText w:val="%8."/>
      <w:lvlJc w:val="left"/>
      <w:pPr>
        <w:ind w:left="5859" w:hanging="360"/>
      </w:pPr>
    </w:lvl>
    <w:lvl w:ilvl="8" w:tplc="B7282A4E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84C1481"/>
    <w:multiLevelType w:val="hybridMultilevel"/>
    <w:tmpl w:val="AE22D922"/>
    <w:lvl w:ilvl="0" w:tplc="77EAED78">
      <w:start w:val="1"/>
      <w:numFmt w:val="decimal"/>
      <w:lvlText w:val="%1)"/>
      <w:lvlJc w:val="left"/>
      <w:pPr>
        <w:ind w:left="1211" w:hanging="360"/>
      </w:pPr>
    </w:lvl>
    <w:lvl w:ilvl="1" w:tplc="D7A44986">
      <w:start w:val="1"/>
      <w:numFmt w:val="lowerLetter"/>
      <w:lvlText w:val="%2."/>
      <w:lvlJc w:val="left"/>
      <w:pPr>
        <w:ind w:left="1788" w:hanging="360"/>
      </w:pPr>
    </w:lvl>
    <w:lvl w:ilvl="2" w:tplc="0C44CADA">
      <w:start w:val="1"/>
      <w:numFmt w:val="lowerRoman"/>
      <w:lvlText w:val="%3."/>
      <w:lvlJc w:val="right"/>
      <w:pPr>
        <w:ind w:left="2508" w:hanging="180"/>
      </w:pPr>
    </w:lvl>
    <w:lvl w:ilvl="3" w:tplc="A53092E2">
      <w:start w:val="1"/>
      <w:numFmt w:val="decimal"/>
      <w:lvlText w:val="%4."/>
      <w:lvlJc w:val="left"/>
      <w:pPr>
        <w:ind w:left="3228" w:hanging="360"/>
      </w:pPr>
    </w:lvl>
    <w:lvl w:ilvl="4" w:tplc="5DCCF6CA">
      <w:start w:val="1"/>
      <w:numFmt w:val="lowerLetter"/>
      <w:lvlText w:val="%5."/>
      <w:lvlJc w:val="left"/>
      <w:pPr>
        <w:ind w:left="3948" w:hanging="360"/>
      </w:pPr>
    </w:lvl>
    <w:lvl w:ilvl="5" w:tplc="5DE21FD2">
      <w:start w:val="1"/>
      <w:numFmt w:val="lowerRoman"/>
      <w:lvlText w:val="%6."/>
      <w:lvlJc w:val="right"/>
      <w:pPr>
        <w:ind w:left="4668" w:hanging="180"/>
      </w:pPr>
    </w:lvl>
    <w:lvl w:ilvl="6" w:tplc="11C2A182">
      <w:start w:val="1"/>
      <w:numFmt w:val="decimal"/>
      <w:lvlText w:val="%7."/>
      <w:lvlJc w:val="left"/>
      <w:pPr>
        <w:ind w:left="5388" w:hanging="360"/>
      </w:pPr>
    </w:lvl>
    <w:lvl w:ilvl="7" w:tplc="641AC658">
      <w:start w:val="1"/>
      <w:numFmt w:val="lowerLetter"/>
      <w:lvlText w:val="%8."/>
      <w:lvlJc w:val="left"/>
      <w:pPr>
        <w:ind w:left="6108" w:hanging="360"/>
      </w:pPr>
    </w:lvl>
    <w:lvl w:ilvl="8" w:tplc="B4B0640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6185E"/>
    <w:multiLevelType w:val="multilevel"/>
    <w:tmpl w:val="CFBABE2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 w15:restartNumberingAfterBreak="0">
    <w:nsid w:val="358D20B8"/>
    <w:multiLevelType w:val="hybridMultilevel"/>
    <w:tmpl w:val="F26CA44A"/>
    <w:lvl w:ilvl="0" w:tplc="4B986B9E">
      <w:start w:val="1"/>
      <w:numFmt w:val="decimal"/>
      <w:lvlText w:val="%1)"/>
      <w:lvlJc w:val="left"/>
      <w:pPr>
        <w:ind w:left="1211" w:hanging="360"/>
      </w:pPr>
    </w:lvl>
    <w:lvl w:ilvl="1" w:tplc="F1D03B36">
      <w:start w:val="1"/>
      <w:numFmt w:val="lowerLetter"/>
      <w:lvlText w:val="%2."/>
      <w:lvlJc w:val="left"/>
      <w:pPr>
        <w:ind w:left="1788" w:hanging="360"/>
      </w:pPr>
    </w:lvl>
    <w:lvl w:ilvl="2" w:tplc="0A72356A">
      <w:start w:val="1"/>
      <w:numFmt w:val="lowerRoman"/>
      <w:lvlText w:val="%3."/>
      <w:lvlJc w:val="right"/>
      <w:pPr>
        <w:ind w:left="2508" w:hanging="180"/>
      </w:pPr>
    </w:lvl>
    <w:lvl w:ilvl="3" w:tplc="852ED8F4">
      <w:start w:val="1"/>
      <w:numFmt w:val="decimal"/>
      <w:lvlText w:val="%4."/>
      <w:lvlJc w:val="left"/>
      <w:pPr>
        <w:ind w:left="3228" w:hanging="360"/>
      </w:pPr>
    </w:lvl>
    <w:lvl w:ilvl="4" w:tplc="B43E6646">
      <w:start w:val="1"/>
      <w:numFmt w:val="lowerLetter"/>
      <w:lvlText w:val="%5."/>
      <w:lvlJc w:val="left"/>
      <w:pPr>
        <w:ind w:left="3948" w:hanging="360"/>
      </w:pPr>
    </w:lvl>
    <w:lvl w:ilvl="5" w:tplc="F94CA588">
      <w:start w:val="1"/>
      <w:numFmt w:val="lowerRoman"/>
      <w:lvlText w:val="%6."/>
      <w:lvlJc w:val="right"/>
      <w:pPr>
        <w:ind w:left="4668" w:hanging="180"/>
      </w:pPr>
    </w:lvl>
    <w:lvl w:ilvl="6" w:tplc="E3D4E2D2">
      <w:start w:val="1"/>
      <w:numFmt w:val="decimal"/>
      <w:lvlText w:val="%7."/>
      <w:lvlJc w:val="left"/>
      <w:pPr>
        <w:ind w:left="5388" w:hanging="360"/>
      </w:pPr>
    </w:lvl>
    <w:lvl w:ilvl="7" w:tplc="485EB954">
      <w:start w:val="1"/>
      <w:numFmt w:val="lowerLetter"/>
      <w:lvlText w:val="%8."/>
      <w:lvlJc w:val="left"/>
      <w:pPr>
        <w:ind w:left="6108" w:hanging="360"/>
      </w:pPr>
    </w:lvl>
    <w:lvl w:ilvl="8" w:tplc="50A06D1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C61BD0"/>
    <w:multiLevelType w:val="multilevel"/>
    <w:tmpl w:val="8F6EDA7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b/>
      </w:rPr>
    </w:lvl>
  </w:abstractNum>
  <w:abstractNum w:abstractNumId="8" w15:restartNumberingAfterBreak="0">
    <w:nsid w:val="36E075A1"/>
    <w:multiLevelType w:val="multilevel"/>
    <w:tmpl w:val="A98E2614"/>
    <w:lvl w:ilvl="0">
      <w:start w:val="5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9" w15:restartNumberingAfterBreak="0">
    <w:nsid w:val="38EF5C9A"/>
    <w:multiLevelType w:val="hybridMultilevel"/>
    <w:tmpl w:val="871005F2"/>
    <w:lvl w:ilvl="0" w:tplc="6D48C620">
      <w:start w:val="1"/>
      <w:numFmt w:val="decimal"/>
      <w:lvlText w:val="%1)"/>
      <w:lvlJc w:val="left"/>
      <w:pPr>
        <w:ind w:left="1211" w:hanging="360"/>
      </w:pPr>
    </w:lvl>
    <w:lvl w:ilvl="1" w:tplc="76FAC5EA">
      <w:start w:val="1"/>
      <w:numFmt w:val="lowerLetter"/>
      <w:lvlText w:val="%2."/>
      <w:lvlJc w:val="left"/>
      <w:pPr>
        <w:ind w:left="1788" w:hanging="360"/>
      </w:pPr>
    </w:lvl>
    <w:lvl w:ilvl="2" w:tplc="53381FA2">
      <w:start w:val="1"/>
      <w:numFmt w:val="lowerRoman"/>
      <w:lvlText w:val="%3."/>
      <w:lvlJc w:val="right"/>
      <w:pPr>
        <w:ind w:left="2508" w:hanging="180"/>
      </w:pPr>
    </w:lvl>
    <w:lvl w:ilvl="3" w:tplc="FA3C9212">
      <w:start w:val="1"/>
      <w:numFmt w:val="decimal"/>
      <w:lvlText w:val="%4."/>
      <w:lvlJc w:val="left"/>
      <w:pPr>
        <w:ind w:left="3228" w:hanging="360"/>
      </w:pPr>
    </w:lvl>
    <w:lvl w:ilvl="4" w:tplc="2ED4CA1E">
      <w:start w:val="1"/>
      <w:numFmt w:val="lowerLetter"/>
      <w:lvlText w:val="%5."/>
      <w:lvlJc w:val="left"/>
      <w:pPr>
        <w:ind w:left="3948" w:hanging="360"/>
      </w:pPr>
    </w:lvl>
    <w:lvl w:ilvl="5" w:tplc="625E4E62">
      <w:start w:val="1"/>
      <w:numFmt w:val="lowerRoman"/>
      <w:lvlText w:val="%6."/>
      <w:lvlJc w:val="right"/>
      <w:pPr>
        <w:ind w:left="4668" w:hanging="180"/>
      </w:pPr>
    </w:lvl>
    <w:lvl w:ilvl="6" w:tplc="560EBB7A">
      <w:start w:val="1"/>
      <w:numFmt w:val="decimal"/>
      <w:lvlText w:val="%7."/>
      <w:lvlJc w:val="left"/>
      <w:pPr>
        <w:ind w:left="5388" w:hanging="360"/>
      </w:pPr>
    </w:lvl>
    <w:lvl w:ilvl="7" w:tplc="D054A89C">
      <w:start w:val="1"/>
      <w:numFmt w:val="lowerLetter"/>
      <w:lvlText w:val="%8."/>
      <w:lvlJc w:val="left"/>
      <w:pPr>
        <w:ind w:left="6108" w:hanging="360"/>
      </w:pPr>
    </w:lvl>
    <w:lvl w:ilvl="8" w:tplc="EF8463F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70227B"/>
    <w:multiLevelType w:val="hybridMultilevel"/>
    <w:tmpl w:val="1382D9AE"/>
    <w:lvl w:ilvl="0" w:tplc="76F051BC">
      <w:start w:val="1"/>
      <w:numFmt w:val="decimal"/>
      <w:lvlText w:val="%1)"/>
      <w:lvlJc w:val="left"/>
      <w:pPr>
        <w:ind w:left="502" w:hanging="360"/>
      </w:pPr>
    </w:lvl>
    <w:lvl w:ilvl="1" w:tplc="2C668C1C">
      <w:start w:val="1"/>
      <w:numFmt w:val="lowerLetter"/>
      <w:lvlText w:val="%2."/>
      <w:lvlJc w:val="left"/>
      <w:pPr>
        <w:ind w:left="1788" w:hanging="360"/>
      </w:pPr>
    </w:lvl>
    <w:lvl w:ilvl="2" w:tplc="72EE8FDE">
      <w:start w:val="1"/>
      <w:numFmt w:val="lowerRoman"/>
      <w:lvlText w:val="%3."/>
      <w:lvlJc w:val="right"/>
      <w:pPr>
        <w:ind w:left="2508" w:hanging="180"/>
      </w:pPr>
    </w:lvl>
    <w:lvl w:ilvl="3" w:tplc="A9F24E94">
      <w:start w:val="1"/>
      <w:numFmt w:val="decimal"/>
      <w:lvlText w:val="%4."/>
      <w:lvlJc w:val="left"/>
      <w:pPr>
        <w:ind w:left="3228" w:hanging="360"/>
      </w:pPr>
    </w:lvl>
    <w:lvl w:ilvl="4" w:tplc="DB2EEEE0">
      <w:start w:val="1"/>
      <w:numFmt w:val="lowerLetter"/>
      <w:lvlText w:val="%5."/>
      <w:lvlJc w:val="left"/>
      <w:pPr>
        <w:ind w:left="3948" w:hanging="360"/>
      </w:pPr>
    </w:lvl>
    <w:lvl w:ilvl="5" w:tplc="A072E558">
      <w:start w:val="1"/>
      <w:numFmt w:val="lowerRoman"/>
      <w:lvlText w:val="%6."/>
      <w:lvlJc w:val="right"/>
      <w:pPr>
        <w:ind w:left="4668" w:hanging="180"/>
      </w:pPr>
    </w:lvl>
    <w:lvl w:ilvl="6" w:tplc="075E1D80">
      <w:start w:val="1"/>
      <w:numFmt w:val="decimal"/>
      <w:lvlText w:val="%7."/>
      <w:lvlJc w:val="left"/>
      <w:pPr>
        <w:ind w:left="5388" w:hanging="360"/>
      </w:pPr>
    </w:lvl>
    <w:lvl w:ilvl="7" w:tplc="FD0C6764">
      <w:start w:val="1"/>
      <w:numFmt w:val="lowerLetter"/>
      <w:lvlText w:val="%8."/>
      <w:lvlJc w:val="left"/>
      <w:pPr>
        <w:ind w:left="6108" w:hanging="360"/>
      </w:pPr>
    </w:lvl>
    <w:lvl w:ilvl="8" w:tplc="CFD828A4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B70A45"/>
    <w:multiLevelType w:val="hybridMultilevel"/>
    <w:tmpl w:val="566CBF18"/>
    <w:lvl w:ilvl="0" w:tplc="80C4454A">
      <w:start w:val="1"/>
      <w:numFmt w:val="decimal"/>
      <w:lvlText w:val="%1)"/>
      <w:lvlJc w:val="left"/>
      <w:pPr>
        <w:ind w:left="1353" w:hanging="360"/>
      </w:pPr>
    </w:lvl>
    <w:lvl w:ilvl="1" w:tplc="BC023CE0">
      <w:start w:val="1"/>
      <w:numFmt w:val="lowerLetter"/>
      <w:lvlText w:val="%2."/>
      <w:lvlJc w:val="left"/>
      <w:pPr>
        <w:ind w:left="1930" w:hanging="360"/>
      </w:pPr>
    </w:lvl>
    <w:lvl w:ilvl="2" w:tplc="B2D2BB2C">
      <w:start w:val="1"/>
      <w:numFmt w:val="lowerRoman"/>
      <w:lvlText w:val="%3."/>
      <w:lvlJc w:val="right"/>
      <w:pPr>
        <w:ind w:left="2650" w:hanging="180"/>
      </w:pPr>
    </w:lvl>
    <w:lvl w:ilvl="3" w:tplc="0F5CAE26">
      <w:start w:val="1"/>
      <w:numFmt w:val="decimal"/>
      <w:lvlText w:val="%4."/>
      <w:lvlJc w:val="left"/>
      <w:pPr>
        <w:ind w:left="3370" w:hanging="360"/>
      </w:pPr>
    </w:lvl>
    <w:lvl w:ilvl="4" w:tplc="6602B2EE">
      <w:start w:val="1"/>
      <w:numFmt w:val="lowerLetter"/>
      <w:lvlText w:val="%5."/>
      <w:lvlJc w:val="left"/>
      <w:pPr>
        <w:ind w:left="4090" w:hanging="360"/>
      </w:pPr>
    </w:lvl>
    <w:lvl w:ilvl="5" w:tplc="FE64C808">
      <w:start w:val="1"/>
      <w:numFmt w:val="lowerRoman"/>
      <w:lvlText w:val="%6."/>
      <w:lvlJc w:val="right"/>
      <w:pPr>
        <w:ind w:left="4810" w:hanging="180"/>
      </w:pPr>
    </w:lvl>
    <w:lvl w:ilvl="6" w:tplc="517EBE1E">
      <w:start w:val="1"/>
      <w:numFmt w:val="decimal"/>
      <w:lvlText w:val="%7."/>
      <w:lvlJc w:val="left"/>
      <w:pPr>
        <w:ind w:left="5530" w:hanging="360"/>
      </w:pPr>
    </w:lvl>
    <w:lvl w:ilvl="7" w:tplc="17CEBF22">
      <w:start w:val="1"/>
      <w:numFmt w:val="lowerLetter"/>
      <w:lvlText w:val="%8."/>
      <w:lvlJc w:val="left"/>
      <w:pPr>
        <w:ind w:left="6250" w:hanging="360"/>
      </w:pPr>
    </w:lvl>
    <w:lvl w:ilvl="8" w:tplc="36641052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0402449"/>
    <w:multiLevelType w:val="hybridMultilevel"/>
    <w:tmpl w:val="A132703E"/>
    <w:lvl w:ilvl="0" w:tplc="854EA7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5E624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CBEA3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B2CD1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8DC2B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5D01A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609A3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FD454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A0415A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2684994"/>
    <w:multiLevelType w:val="hybridMultilevel"/>
    <w:tmpl w:val="C8C4BCE8"/>
    <w:lvl w:ilvl="0" w:tplc="9FF04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C3C3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0E2D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DA8A6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5D07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034F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A864B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0BE2A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FDC8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8BA5051"/>
    <w:multiLevelType w:val="hybridMultilevel"/>
    <w:tmpl w:val="E802593A"/>
    <w:lvl w:ilvl="0" w:tplc="64408A6A">
      <w:start w:val="1"/>
      <w:numFmt w:val="decimal"/>
      <w:lvlText w:val="%1."/>
      <w:lvlJc w:val="left"/>
      <w:pPr>
        <w:ind w:left="643" w:hanging="360"/>
      </w:pPr>
    </w:lvl>
    <w:lvl w:ilvl="1" w:tplc="A580ADB0">
      <w:start w:val="1"/>
      <w:numFmt w:val="lowerLetter"/>
      <w:lvlText w:val="%2."/>
      <w:lvlJc w:val="left"/>
      <w:pPr>
        <w:ind w:left="1363" w:hanging="360"/>
      </w:pPr>
    </w:lvl>
    <w:lvl w:ilvl="2" w:tplc="AD6EFD24">
      <w:start w:val="1"/>
      <w:numFmt w:val="lowerRoman"/>
      <w:lvlText w:val="%3."/>
      <w:lvlJc w:val="right"/>
      <w:pPr>
        <w:ind w:left="2083" w:hanging="180"/>
      </w:pPr>
    </w:lvl>
    <w:lvl w:ilvl="3" w:tplc="E3EA128C">
      <w:start w:val="1"/>
      <w:numFmt w:val="decimal"/>
      <w:lvlText w:val="%4."/>
      <w:lvlJc w:val="left"/>
      <w:pPr>
        <w:ind w:left="2803" w:hanging="360"/>
      </w:pPr>
    </w:lvl>
    <w:lvl w:ilvl="4" w:tplc="C3F058F6">
      <w:start w:val="1"/>
      <w:numFmt w:val="lowerLetter"/>
      <w:lvlText w:val="%5."/>
      <w:lvlJc w:val="left"/>
      <w:pPr>
        <w:ind w:left="3523" w:hanging="360"/>
      </w:pPr>
    </w:lvl>
    <w:lvl w:ilvl="5" w:tplc="6E62490E">
      <w:start w:val="1"/>
      <w:numFmt w:val="lowerRoman"/>
      <w:lvlText w:val="%6."/>
      <w:lvlJc w:val="right"/>
      <w:pPr>
        <w:ind w:left="4243" w:hanging="180"/>
      </w:pPr>
    </w:lvl>
    <w:lvl w:ilvl="6" w:tplc="139228C2">
      <w:start w:val="1"/>
      <w:numFmt w:val="decimal"/>
      <w:lvlText w:val="%7."/>
      <w:lvlJc w:val="left"/>
      <w:pPr>
        <w:ind w:left="4963" w:hanging="360"/>
      </w:pPr>
    </w:lvl>
    <w:lvl w:ilvl="7" w:tplc="15F0FE16">
      <w:start w:val="1"/>
      <w:numFmt w:val="lowerLetter"/>
      <w:lvlText w:val="%8."/>
      <w:lvlJc w:val="left"/>
      <w:pPr>
        <w:ind w:left="5683" w:hanging="360"/>
      </w:pPr>
    </w:lvl>
    <w:lvl w:ilvl="8" w:tplc="20689AD2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1B7FBA"/>
    <w:multiLevelType w:val="hybridMultilevel"/>
    <w:tmpl w:val="9330346E"/>
    <w:lvl w:ilvl="0" w:tplc="EF8A3746">
      <w:start w:val="1"/>
      <w:numFmt w:val="decimal"/>
      <w:lvlText w:val="%1)"/>
      <w:lvlJc w:val="left"/>
      <w:pPr>
        <w:ind w:left="1211" w:hanging="360"/>
      </w:pPr>
    </w:lvl>
    <w:lvl w:ilvl="1" w:tplc="FDC89D7A">
      <w:start w:val="1"/>
      <w:numFmt w:val="lowerLetter"/>
      <w:lvlText w:val="%2."/>
      <w:lvlJc w:val="left"/>
      <w:pPr>
        <w:ind w:left="1788" w:hanging="360"/>
      </w:pPr>
    </w:lvl>
    <w:lvl w:ilvl="2" w:tplc="C9428840">
      <w:start w:val="1"/>
      <w:numFmt w:val="lowerRoman"/>
      <w:lvlText w:val="%3."/>
      <w:lvlJc w:val="right"/>
      <w:pPr>
        <w:ind w:left="2508" w:hanging="180"/>
      </w:pPr>
    </w:lvl>
    <w:lvl w:ilvl="3" w:tplc="7186A732">
      <w:start w:val="1"/>
      <w:numFmt w:val="decimal"/>
      <w:lvlText w:val="%4."/>
      <w:lvlJc w:val="left"/>
      <w:pPr>
        <w:ind w:left="3228" w:hanging="360"/>
      </w:pPr>
    </w:lvl>
    <w:lvl w:ilvl="4" w:tplc="CF4C2AB4">
      <w:start w:val="1"/>
      <w:numFmt w:val="lowerLetter"/>
      <w:lvlText w:val="%5."/>
      <w:lvlJc w:val="left"/>
      <w:pPr>
        <w:ind w:left="3948" w:hanging="360"/>
      </w:pPr>
    </w:lvl>
    <w:lvl w:ilvl="5" w:tplc="A926C2BE">
      <w:start w:val="1"/>
      <w:numFmt w:val="lowerRoman"/>
      <w:lvlText w:val="%6."/>
      <w:lvlJc w:val="right"/>
      <w:pPr>
        <w:ind w:left="4668" w:hanging="180"/>
      </w:pPr>
    </w:lvl>
    <w:lvl w:ilvl="6" w:tplc="AD2E3378">
      <w:start w:val="1"/>
      <w:numFmt w:val="decimal"/>
      <w:lvlText w:val="%7."/>
      <w:lvlJc w:val="left"/>
      <w:pPr>
        <w:ind w:left="5388" w:hanging="360"/>
      </w:pPr>
    </w:lvl>
    <w:lvl w:ilvl="7" w:tplc="13609614">
      <w:start w:val="1"/>
      <w:numFmt w:val="lowerLetter"/>
      <w:lvlText w:val="%8."/>
      <w:lvlJc w:val="left"/>
      <w:pPr>
        <w:ind w:left="6108" w:hanging="360"/>
      </w:pPr>
    </w:lvl>
    <w:lvl w:ilvl="8" w:tplc="EBFA754C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260406"/>
    <w:multiLevelType w:val="hybridMultilevel"/>
    <w:tmpl w:val="F452961A"/>
    <w:lvl w:ilvl="0" w:tplc="D034E228">
      <w:start w:val="1"/>
      <w:numFmt w:val="decimal"/>
      <w:lvlText w:val="%1)"/>
      <w:lvlJc w:val="left"/>
      <w:pPr>
        <w:ind w:left="1211" w:hanging="360"/>
      </w:pPr>
    </w:lvl>
    <w:lvl w:ilvl="1" w:tplc="AC828E0A">
      <w:start w:val="1"/>
      <w:numFmt w:val="lowerLetter"/>
      <w:lvlText w:val="%2."/>
      <w:lvlJc w:val="left"/>
      <w:pPr>
        <w:ind w:left="1788" w:hanging="360"/>
      </w:pPr>
    </w:lvl>
    <w:lvl w:ilvl="2" w:tplc="A2400CA8">
      <w:start w:val="1"/>
      <w:numFmt w:val="lowerRoman"/>
      <w:lvlText w:val="%3."/>
      <w:lvlJc w:val="right"/>
      <w:pPr>
        <w:ind w:left="2508" w:hanging="180"/>
      </w:pPr>
    </w:lvl>
    <w:lvl w:ilvl="3" w:tplc="0EAC2CD8">
      <w:start w:val="1"/>
      <w:numFmt w:val="decimal"/>
      <w:lvlText w:val="%4."/>
      <w:lvlJc w:val="left"/>
      <w:pPr>
        <w:ind w:left="3228" w:hanging="360"/>
      </w:pPr>
    </w:lvl>
    <w:lvl w:ilvl="4" w:tplc="CD141C2E">
      <w:start w:val="1"/>
      <w:numFmt w:val="lowerLetter"/>
      <w:lvlText w:val="%5."/>
      <w:lvlJc w:val="left"/>
      <w:pPr>
        <w:ind w:left="3948" w:hanging="360"/>
      </w:pPr>
    </w:lvl>
    <w:lvl w:ilvl="5" w:tplc="54EA013A">
      <w:start w:val="1"/>
      <w:numFmt w:val="lowerRoman"/>
      <w:lvlText w:val="%6."/>
      <w:lvlJc w:val="right"/>
      <w:pPr>
        <w:ind w:left="4668" w:hanging="180"/>
      </w:pPr>
    </w:lvl>
    <w:lvl w:ilvl="6" w:tplc="721C3A98">
      <w:start w:val="1"/>
      <w:numFmt w:val="decimal"/>
      <w:lvlText w:val="%7."/>
      <w:lvlJc w:val="left"/>
      <w:pPr>
        <w:ind w:left="5388" w:hanging="360"/>
      </w:pPr>
    </w:lvl>
    <w:lvl w:ilvl="7" w:tplc="4BD219FA">
      <w:start w:val="1"/>
      <w:numFmt w:val="lowerLetter"/>
      <w:lvlText w:val="%8."/>
      <w:lvlJc w:val="left"/>
      <w:pPr>
        <w:ind w:left="6108" w:hanging="360"/>
      </w:pPr>
    </w:lvl>
    <w:lvl w:ilvl="8" w:tplc="E8709C6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42E6D"/>
    <w:multiLevelType w:val="hybridMultilevel"/>
    <w:tmpl w:val="9F9A68C6"/>
    <w:lvl w:ilvl="0" w:tplc="0ED0AC30">
      <w:start w:val="4"/>
      <w:numFmt w:val="decimal"/>
      <w:lvlText w:val="%1."/>
      <w:lvlJc w:val="left"/>
      <w:pPr>
        <w:ind w:left="720" w:hanging="360"/>
      </w:pPr>
    </w:lvl>
    <w:lvl w:ilvl="1" w:tplc="2DB28E78">
      <w:start w:val="1"/>
      <w:numFmt w:val="lowerLetter"/>
      <w:lvlText w:val="%2."/>
      <w:lvlJc w:val="left"/>
      <w:pPr>
        <w:ind w:left="1440" w:hanging="360"/>
      </w:pPr>
    </w:lvl>
    <w:lvl w:ilvl="2" w:tplc="260AC540">
      <w:start w:val="1"/>
      <w:numFmt w:val="lowerRoman"/>
      <w:lvlText w:val="%3."/>
      <w:lvlJc w:val="right"/>
      <w:pPr>
        <w:ind w:left="2160" w:hanging="180"/>
      </w:pPr>
    </w:lvl>
    <w:lvl w:ilvl="3" w:tplc="C954456C">
      <w:start w:val="1"/>
      <w:numFmt w:val="decimal"/>
      <w:lvlText w:val="%4."/>
      <w:lvlJc w:val="left"/>
      <w:pPr>
        <w:ind w:left="2880" w:hanging="360"/>
      </w:pPr>
    </w:lvl>
    <w:lvl w:ilvl="4" w:tplc="C9184C76">
      <w:start w:val="1"/>
      <w:numFmt w:val="lowerLetter"/>
      <w:lvlText w:val="%5."/>
      <w:lvlJc w:val="left"/>
      <w:pPr>
        <w:ind w:left="3600" w:hanging="360"/>
      </w:pPr>
    </w:lvl>
    <w:lvl w:ilvl="5" w:tplc="986864FE">
      <w:start w:val="1"/>
      <w:numFmt w:val="lowerRoman"/>
      <w:lvlText w:val="%6."/>
      <w:lvlJc w:val="right"/>
      <w:pPr>
        <w:ind w:left="4320" w:hanging="180"/>
      </w:pPr>
    </w:lvl>
    <w:lvl w:ilvl="6" w:tplc="EC40F4B0">
      <w:start w:val="1"/>
      <w:numFmt w:val="decimal"/>
      <w:lvlText w:val="%7."/>
      <w:lvlJc w:val="left"/>
      <w:pPr>
        <w:ind w:left="5040" w:hanging="360"/>
      </w:pPr>
    </w:lvl>
    <w:lvl w:ilvl="7" w:tplc="91ACDEAE">
      <w:start w:val="1"/>
      <w:numFmt w:val="lowerLetter"/>
      <w:lvlText w:val="%8."/>
      <w:lvlJc w:val="left"/>
      <w:pPr>
        <w:ind w:left="5760" w:hanging="360"/>
      </w:pPr>
    </w:lvl>
    <w:lvl w:ilvl="8" w:tplc="369A19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44C"/>
    <w:multiLevelType w:val="hybridMultilevel"/>
    <w:tmpl w:val="65F277A4"/>
    <w:lvl w:ilvl="0" w:tplc="7062F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8CB2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F4DD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7ADD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4E48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274D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18D0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3EBB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B487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082432"/>
    <w:multiLevelType w:val="hybridMultilevel"/>
    <w:tmpl w:val="95D8003C"/>
    <w:lvl w:ilvl="0" w:tplc="6C94CFDA">
      <w:start w:val="1"/>
      <w:numFmt w:val="bullet"/>
      <w:lvlText w:val="–"/>
      <w:lvlJc w:val="left"/>
      <w:pPr>
        <w:ind w:left="1305" w:hanging="360"/>
      </w:pPr>
      <w:rPr>
        <w:rFonts w:ascii="Arial" w:eastAsia="Arial" w:hAnsi="Arial" w:cs="Arial" w:hint="default"/>
      </w:rPr>
    </w:lvl>
    <w:lvl w:ilvl="1" w:tplc="6F62802E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 w:hint="default"/>
      </w:rPr>
    </w:lvl>
    <w:lvl w:ilvl="2" w:tplc="F126F498">
      <w:start w:val="1"/>
      <w:numFmt w:val="bullet"/>
      <w:lvlText w:val="§"/>
      <w:lvlJc w:val="left"/>
      <w:pPr>
        <w:ind w:left="2745" w:hanging="360"/>
      </w:pPr>
      <w:rPr>
        <w:rFonts w:ascii="Wingdings" w:eastAsia="Wingdings" w:hAnsi="Wingdings" w:cs="Wingdings" w:hint="default"/>
      </w:rPr>
    </w:lvl>
    <w:lvl w:ilvl="3" w:tplc="EF46D85C">
      <w:start w:val="1"/>
      <w:numFmt w:val="bullet"/>
      <w:lvlText w:val="·"/>
      <w:lvlJc w:val="left"/>
      <w:pPr>
        <w:ind w:left="3465" w:hanging="360"/>
      </w:pPr>
      <w:rPr>
        <w:rFonts w:ascii="Symbol" w:eastAsia="Symbol" w:hAnsi="Symbol" w:cs="Symbol" w:hint="default"/>
      </w:rPr>
    </w:lvl>
    <w:lvl w:ilvl="4" w:tplc="00ECDC82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 w:hint="default"/>
      </w:rPr>
    </w:lvl>
    <w:lvl w:ilvl="5" w:tplc="E244E8A4">
      <w:start w:val="1"/>
      <w:numFmt w:val="bullet"/>
      <w:lvlText w:val="§"/>
      <w:lvlJc w:val="left"/>
      <w:pPr>
        <w:ind w:left="4905" w:hanging="360"/>
      </w:pPr>
      <w:rPr>
        <w:rFonts w:ascii="Wingdings" w:eastAsia="Wingdings" w:hAnsi="Wingdings" w:cs="Wingdings" w:hint="default"/>
      </w:rPr>
    </w:lvl>
    <w:lvl w:ilvl="6" w:tplc="72ACC4BE">
      <w:start w:val="1"/>
      <w:numFmt w:val="bullet"/>
      <w:lvlText w:val="·"/>
      <w:lvlJc w:val="left"/>
      <w:pPr>
        <w:ind w:left="5625" w:hanging="360"/>
      </w:pPr>
      <w:rPr>
        <w:rFonts w:ascii="Symbol" w:eastAsia="Symbol" w:hAnsi="Symbol" w:cs="Symbol" w:hint="default"/>
      </w:rPr>
    </w:lvl>
    <w:lvl w:ilvl="7" w:tplc="6A62AACA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 w:hint="default"/>
      </w:rPr>
    </w:lvl>
    <w:lvl w:ilvl="8" w:tplc="B60EE276">
      <w:start w:val="1"/>
      <w:numFmt w:val="bullet"/>
      <w:lvlText w:val="§"/>
      <w:lvlJc w:val="left"/>
      <w:pPr>
        <w:ind w:left="7065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D412DFE"/>
    <w:multiLevelType w:val="hybridMultilevel"/>
    <w:tmpl w:val="2AB6D72A"/>
    <w:lvl w:ilvl="0" w:tplc="E62846F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F2EAC2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1B8E7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60C5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7D23E7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7A67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0A2E75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B047E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D001C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18"/>
  </w:num>
  <w:num w:numId="16">
    <w:abstractNumId w:val="19"/>
  </w:num>
  <w:num w:numId="17">
    <w:abstractNumId w:val="12"/>
  </w:num>
  <w:num w:numId="18">
    <w:abstractNumId w:val="20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F2"/>
    <w:rsid w:val="00191028"/>
    <w:rsid w:val="006C2C66"/>
    <w:rsid w:val="00A57EF2"/>
    <w:rsid w:val="00D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34AC-FBCB-4AAC-83B8-B55AA3FC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eastAsia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lang w:val="en-US"/>
    </w:rPr>
  </w:style>
  <w:style w:type="paragraph" w:styleId="a5">
    <w:name w:val="No Spacing"/>
    <w:link w:val="a6"/>
    <w:uiPriority w:val="1"/>
    <w:qFormat/>
    <w:rPr>
      <w:rFonts w:eastAsia="Times New Roman"/>
      <w:sz w:val="22"/>
      <w:szCs w:val="22"/>
    </w:rPr>
  </w:style>
  <w:style w:type="paragraph" w:styleId="a7">
    <w:name w:val="Title"/>
    <w:basedOn w:val="a"/>
    <w:next w:val="a"/>
    <w:link w:val="a8"/>
    <w:uiPriority w:val="10"/>
    <w:qFormat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sz w:val="56"/>
      <w:szCs w:val="56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e">
    <w:name w:val="Верх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  <w:rPr>
      <w:lang w:val="en-US"/>
    </w:rPr>
  </w:style>
  <w:style w:type="character" w:customStyle="1" w:styleId="afe">
    <w:name w:val="Основной текст Знак"/>
    <w:link w:val="afd"/>
    <w:uiPriority w:val="99"/>
    <w:semiHidden/>
    <w:rPr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  <w:rPr>
      <w:lang w:val="en-US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  <w:rPr>
      <w:lang w:val="en-US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styleId="aff3">
    <w:name w:val="FollowedHyperlink"/>
    <w:uiPriority w:val="99"/>
    <w:semiHidden/>
    <w:unhideWhenUsed/>
    <w:rPr>
      <w:color w:val="800080"/>
      <w:u w:val="single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Pr>
      <w:sz w:val="22"/>
      <w:szCs w:val="22"/>
      <w:lang w:eastAsia="en-US"/>
    </w:rPr>
  </w:style>
  <w:style w:type="paragraph" w:styleId="27">
    <w:name w:val="Body Text 2"/>
    <w:basedOn w:val="a"/>
    <w:link w:val="28"/>
    <w:uiPriority w:val="99"/>
    <w:semiHidden/>
    <w:unhideWhenUsed/>
    <w:pPr>
      <w:spacing w:after="120" w:line="480" w:lineRule="auto"/>
    </w:pPr>
    <w:rPr>
      <w:lang w:val="en-US"/>
    </w:rPr>
  </w:style>
  <w:style w:type="character" w:customStyle="1" w:styleId="28">
    <w:name w:val="Основной текст 2 Знак"/>
    <w:link w:val="27"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af5">
    <w:name w:val="Текст сноски Знак"/>
    <w:link w:val="af4"/>
    <w:rPr>
      <w:rFonts w:ascii="Arial" w:eastAsia="Times New Roman" w:hAnsi="Arial"/>
    </w:rPr>
  </w:style>
  <w:style w:type="paragraph" w:styleId="aff4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Pr>
      <w:rFonts w:eastAsia="Times New Roman"/>
      <w:sz w:val="22"/>
      <w:szCs w:val="22"/>
      <w:lang w:bidi="ar-SA"/>
    </w:rPr>
  </w:style>
  <w:style w:type="character" w:customStyle="1" w:styleId="a8">
    <w:name w:val="Название Знак"/>
    <w:link w:val="a7"/>
    <w:uiPriority w:val="10"/>
    <w:rPr>
      <w:rFonts w:ascii="Calibri Light" w:eastAsia="Times New Roman" w:hAnsi="Calibri Light"/>
      <w:color w:val="404040"/>
      <w:spacing w:val="-10"/>
      <w:sz w:val="56"/>
      <w:szCs w:val="56"/>
    </w:rPr>
  </w:style>
  <w:style w:type="character" w:customStyle="1" w:styleId="aa">
    <w:name w:val="Подзаголовок Знак"/>
    <w:link w:val="a9"/>
    <w:uiPriority w:val="11"/>
    <w:rPr>
      <w:rFonts w:eastAsia="Times New Roman"/>
      <w:color w:val="5A5A5A"/>
      <w:spacing w:val="15"/>
      <w:sz w:val="22"/>
      <w:szCs w:val="22"/>
    </w:rPr>
  </w:style>
  <w:style w:type="paragraph" w:customStyle="1" w:styleId="ASAP1">
    <w:name w:val="ASAP 1"/>
    <w:pPr>
      <w:tabs>
        <w:tab w:val="center" w:pos="4680"/>
        <w:tab w:val="right" w:pos="9360"/>
      </w:tabs>
    </w:pPr>
    <w:rPr>
      <w:rFonts w:eastAsia="Times New Roman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ff5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character" w:styleId="aff6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mokrug.gosuslugi.ru/deyatelnost/napravleniya-deyatelnosti/ekonom/konkurenciya-v-AGO/normativnye-dokumenty/" TargetMode="External"/><Relationship Id="rId13" Type="http://schemas.openxmlformats.org/officeDocument/2006/relationships/hyperlink" Target="https://artemokrug.gosuslugi.ru/deyatelnost/napravleniya-deyatelnosti/ekonom/konkurenciya-v-AGO/reestr/" TargetMode="External"/><Relationship Id="rId18" Type="http://schemas.openxmlformats.org/officeDocument/2006/relationships/hyperlink" Target="http://www.artemokrug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rtemokrug.gosuslugi.ru/deyatelnost/napravleniya-deyatelnosti/ekonom/konkurenciya-v-AGO/normativnye-dokumenty/" TargetMode="External"/><Relationship Id="rId12" Type="http://schemas.openxmlformats.org/officeDocument/2006/relationships/hyperlink" Target="https://artemokrug.gosuslugi.ru/deyatelnost/napravleniya-deyatelnosti/ekonom/konkurenciya-v-AGO/normativnye-dokumenty/" TargetMode="External"/><Relationship Id="rId17" Type="http://schemas.openxmlformats.org/officeDocument/2006/relationships/hyperlink" Target="http://www.artemokru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emokrug.gosuslugi.ru/deyatelnost/napravleniya-deyatelnosti/ekonom/konkurenciya-v-AGO/doklad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temokrug.gosuslugi.ru/deyatelnost/napravleniya-deyatelnosti/ekonom/konkurenciya-v-AGO/normativnye-dokument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rtemokrug.ru/poleznaya-informatsiya/%D0%BF%D1%80%D0%BE%D1%82%D0%BE%D0%BA%D0%BE%D0%BB%20%D0%B0%D1%83%D0%BA%D1%86%D0%B8%D0%BE%D0%BD%D0%B0%20%D0%BE%D1%82%2023.12.2020.pdf" TargetMode="External"/><Relationship Id="rId19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emduma.ru/?page_id=20471&amp;ysclid=lrittq3zdk810235954" TargetMode="External"/><Relationship Id="rId14" Type="http://schemas.openxmlformats.org/officeDocument/2006/relationships/hyperlink" Target="https://artemokrug.gosuslugi.ru/deyatelnost/napravleniya-deyatelnosti/ekonom/konkurenciya-v-AGO/normativnye-dokumenty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12561</Words>
  <Characters>71600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Волгина Елена Васильевна</dc:creator>
  <cp:lastModifiedBy>Борисова Ольга Анатольевна</cp:lastModifiedBy>
  <cp:revision>57</cp:revision>
  <dcterms:created xsi:type="dcterms:W3CDTF">2024-01-17T07:25:00Z</dcterms:created>
  <dcterms:modified xsi:type="dcterms:W3CDTF">2025-01-30T23:50:00Z</dcterms:modified>
  <cp:version>983040</cp:version>
</cp:coreProperties>
</file>