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B9D" w:rsidRPr="004A1707" w:rsidRDefault="006E368D" w:rsidP="00A52DEC">
      <w:pPr>
        <w:spacing w:line="360" w:lineRule="auto"/>
        <w:ind w:firstLine="709"/>
        <w:jc w:val="center"/>
        <w:rPr>
          <w:b/>
          <w:sz w:val="32"/>
        </w:rPr>
      </w:pPr>
      <w:bookmarkStart w:id="0" w:name="_GoBack"/>
      <w:bookmarkEnd w:id="0"/>
      <w:r w:rsidRPr="004A1707">
        <w:rPr>
          <w:b/>
          <w:sz w:val="32"/>
        </w:rPr>
        <w:t xml:space="preserve">Итоги социально-экономического развития Артемовского городского округа </w:t>
      </w:r>
      <w:r w:rsidR="004C1790" w:rsidRPr="004A1707">
        <w:rPr>
          <w:b/>
          <w:sz w:val="32"/>
        </w:rPr>
        <w:t xml:space="preserve">за </w:t>
      </w:r>
      <w:r w:rsidR="00466C92" w:rsidRPr="004A1707">
        <w:rPr>
          <w:b/>
          <w:sz w:val="32"/>
        </w:rPr>
        <w:t>2009 год</w:t>
      </w:r>
    </w:p>
    <w:p w:rsidR="00466C92" w:rsidRPr="004A1707" w:rsidRDefault="00466C92" w:rsidP="00466C92">
      <w:pPr>
        <w:ind w:firstLine="540"/>
        <w:jc w:val="both"/>
      </w:pPr>
      <w:r w:rsidRPr="004A1707">
        <w:t>В условиях глобального экономического кризиса социально-экономическая ситуация в Артемовском городском округе в течение 2009 года оставалась в целом стабильной.</w:t>
      </w:r>
    </w:p>
    <w:p w:rsidR="00466C92" w:rsidRPr="004A1707" w:rsidRDefault="00466C92" w:rsidP="00466C92">
      <w:pPr>
        <w:widowControl w:val="0"/>
        <w:ind w:firstLine="709"/>
        <w:jc w:val="both"/>
        <w:rPr>
          <w:szCs w:val="28"/>
        </w:rPr>
      </w:pPr>
      <w:r w:rsidRPr="004A1707">
        <w:rPr>
          <w:szCs w:val="28"/>
        </w:rPr>
        <w:t xml:space="preserve">В 2009 году продолжился рост экономического потенциала города. По уровню социально-экономического развития Артем сохранил свои позиции, а по ряду показателей опережает среднекраевые значения. </w:t>
      </w:r>
    </w:p>
    <w:p w:rsidR="00E1335F" w:rsidRPr="004A1707" w:rsidRDefault="00E1335F" w:rsidP="00E1335F">
      <w:pPr>
        <w:ind w:firstLine="540"/>
        <w:jc w:val="both"/>
        <w:rPr>
          <w:bCs/>
          <w:iCs/>
        </w:rPr>
      </w:pPr>
      <w:r w:rsidRPr="004A1707">
        <w:rPr>
          <w:bCs/>
          <w:iCs/>
        </w:rPr>
        <w:t>В рейтинге экономической активности территорий Приморского края Артемовский городской округ:</w:t>
      </w:r>
    </w:p>
    <w:p w:rsidR="00E1335F" w:rsidRPr="004A1707" w:rsidRDefault="00E1335F" w:rsidP="00E1335F">
      <w:pPr>
        <w:ind w:firstLine="539"/>
        <w:jc w:val="both"/>
        <w:rPr>
          <w:bCs/>
          <w:iCs/>
        </w:rPr>
      </w:pPr>
      <w:r w:rsidRPr="004A1707">
        <w:rPr>
          <w:bCs/>
          <w:iCs/>
        </w:rPr>
        <w:t>по доле собственных доходов в общих доходах бюджета – на третьем месте;</w:t>
      </w:r>
    </w:p>
    <w:p w:rsidR="00E1335F" w:rsidRPr="004A1707" w:rsidRDefault="00E1335F" w:rsidP="00E1335F">
      <w:pPr>
        <w:ind w:firstLine="539"/>
        <w:jc w:val="both"/>
        <w:rPr>
          <w:bCs/>
          <w:iCs/>
        </w:rPr>
      </w:pPr>
      <w:r w:rsidRPr="004A1707">
        <w:rPr>
          <w:bCs/>
          <w:iCs/>
        </w:rPr>
        <w:t>по уровню зарегистрированной безработицы к экономически активному населению – на втором месте (меньший уровень безработицы отмечен только во Владивостокском городском округе);</w:t>
      </w:r>
    </w:p>
    <w:p w:rsidR="00E1335F" w:rsidRPr="004A1707" w:rsidRDefault="00E1335F" w:rsidP="00E1335F">
      <w:pPr>
        <w:ind w:firstLine="540"/>
        <w:jc w:val="both"/>
        <w:rPr>
          <w:bCs/>
        </w:rPr>
      </w:pPr>
      <w:r w:rsidRPr="004A1707">
        <w:rPr>
          <w:bCs/>
        </w:rPr>
        <w:t>по производству валовой продукции сельского хозяйства округ остается  лидером среди территорий края;</w:t>
      </w:r>
    </w:p>
    <w:p w:rsidR="00E1335F" w:rsidRPr="004A1707" w:rsidRDefault="00E1335F" w:rsidP="00E1335F">
      <w:pPr>
        <w:ind w:firstLine="540"/>
        <w:jc w:val="both"/>
        <w:rPr>
          <w:bCs/>
        </w:rPr>
      </w:pPr>
      <w:r w:rsidRPr="004A1707">
        <w:rPr>
          <w:bCs/>
        </w:rPr>
        <w:t>по уровню заработной платы среди городских округов и объемам ввода жилья – на четвертом месте;</w:t>
      </w:r>
    </w:p>
    <w:p w:rsidR="00E1335F" w:rsidRPr="004A1707" w:rsidRDefault="00E1335F" w:rsidP="00E1335F">
      <w:pPr>
        <w:ind w:firstLine="540"/>
        <w:jc w:val="both"/>
        <w:rPr>
          <w:bCs/>
        </w:rPr>
      </w:pPr>
      <w:r w:rsidRPr="004A1707">
        <w:rPr>
          <w:bCs/>
        </w:rPr>
        <w:t>по балансовой прибыли, полученной крупными и средними организациями Артемовского городского округа – на пятом месте;</w:t>
      </w:r>
    </w:p>
    <w:p w:rsidR="00E1335F" w:rsidRPr="004A1707" w:rsidRDefault="00E1335F" w:rsidP="00E1335F">
      <w:pPr>
        <w:ind w:firstLine="539"/>
        <w:jc w:val="both"/>
        <w:rPr>
          <w:bCs/>
          <w:iCs/>
        </w:rPr>
      </w:pPr>
      <w:r w:rsidRPr="004A1707">
        <w:rPr>
          <w:bCs/>
          <w:iCs/>
        </w:rPr>
        <w:t>по обороту общественного питания – на четвертом месте.</w:t>
      </w:r>
    </w:p>
    <w:p w:rsidR="00466C92" w:rsidRPr="004A1707" w:rsidRDefault="00466C92" w:rsidP="00466C92">
      <w:pPr>
        <w:widowControl w:val="0"/>
        <w:ind w:firstLine="709"/>
        <w:jc w:val="both"/>
        <w:rPr>
          <w:szCs w:val="28"/>
        </w:rPr>
      </w:pPr>
      <w:r w:rsidRPr="004A1707">
        <w:rPr>
          <w:szCs w:val="28"/>
        </w:rPr>
        <w:t>По сравнению с 2008 годом темпы роста промышленного производства, ввода в действие жилых домов, оборота розничной торговли, оборота общественного питания, объема платных услуг в округе превысили темпы роста в среднем по краю.</w:t>
      </w:r>
    </w:p>
    <w:p w:rsidR="00466C92" w:rsidRPr="004A1707" w:rsidRDefault="00466C92" w:rsidP="00466C92">
      <w:pPr>
        <w:widowControl w:val="0"/>
        <w:ind w:firstLine="709"/>
        <w:jc w:val="both"/>
        <w:rPr>
          <w:szCs w:val="28"/>
        </w:rPr>
      </w:pPr>
      <w:r w:rsidRPr="004A1707">
        <w:rPr>
          <w:szCs w:val="28"/>
        </w:rPr>
        <w:t xml:space="preserve">В округе сложилась благоприятная обстановка, связанная с обеспечением работой, нагрузка незанятого населения, состоящего на учете в органах службы занятости, на одну заявленную вакансию составила 0,7 претендентов, что меньше сложившегося среднекраевого значения (1,2). </w:t>
      </w:r>
    </w:p>
    <w:p w:rsidR="00E1335F" w:rsidRPr="004A1707" w:rsidRDefault="00466C92" w:rsidP="00466C92">
      <w:pPr>
        <w:ind w:firstLine="709"/>
        <w:jc w:val="both"/>
        <w:rPr>
          <w:szCs w:val="28"/>
        </w:rPr>
      </w:pPr>
      <w:r w:rsidRPr="004A1707">
        <w:rPr>
          <w:szCs w:val="28"/>
        </w:rPr>
        <w:t xml:space="preserve">За период 2009 года по сравнению с предыдущим годом произошло увеличение реальных денежных доходов населения (105,2% к уровню 2008г.). </w:t>
      </w:r>
    </w:p>
    <w:p w:rsidR="00466C92" w:rsidRPr="004A1707" w:rsidRDefault="00466C92" w:rsidP="00466C92">
      <w:pPr>
        <w:ind w:firstLine="709"/>
        <w:jc w:val="both"/>
      </w:pPr>
      <w:r w:rsidRPr="004A1707">
        <w:t>По данным территориального органа Федеральной службы государственной статистики по Приморскому краю в округе отсутствует задолженность по выплате средств на заработную плату.</w:t>
      </w:r>
    </w:p>
    <w:p w:rsidR="00466C92" w:rsidRPr="004A1707" w:rsidRDefault="00466C92" w:rsidP="00466C92">
      <w:pPr>
        <w:ind w:firstLine="720"/>
        <w:jc w:val="both"/>
      </w:pPr>
      <w:r w:rsidRPr="004A1707">
        <w:rPr>
          <w:szCs w:val="28"/>
        </w:rPr>
        <w:t>За счет средств бюджета города реализуются городские целевые программы,</w:t>
      </w:r>
      <w:r w:rsidRPr="004A1707">
        <w:t xml:space="preserve"> охватывающие круг жизненно-важных проблем: социальная развитие села, качество образования и обеспечение безопасности жизнедеятельности образовательных учреждений, улучшение качества здравоохранения и обеспечение жизнедеятельности муниципальных учреждений здравоохранения, обеспечение общественной безопасности, поддержка молодежи Артема</w:t>
      </w:r>
      <w:r w:rsidRPr="004A1707">
        <w:rPr>
          <w:bCs/>
          <w:szCs w:val="28"/>
        </w:rPr>
        <w:t>.</w:t>
      </w:r>
    </w:p>
    <w:p w:rsidR="00466C92" w:rsidRPr="004A1707" w:rsidRDefault="00466C92" w:rsidP="00466C92">
      <w:pPr>
        <w:ind w:firstLine="539"/>
        <w:jc w:val="both"/>
        <w:rPr>
          <w:bCs/>
          <w:iCs/>
        </w:rPr>
      </w:pPr>
      <w:r w:rsidRPr="004A1707">
        <w:rPr>
          <w:bCs/>
          <w:iCs/>
        </w:rPr>
        <w:t>По данным Приморскстата в составе Статистического регистра хозяйствующих субъектов по состоянию</w:t>
      </w:r>
      <w:r w:rsidRPr="004A1707">
        <w:rPr>
          <w:b/>
          <w:bCs/>
          <w:iCs/>
        </w:rPr>
        <w:t xml:space="preserve"> </w:t>
      </w:r>
      <w:r w:rsidRPr="004A1707">
        <w:rPr>
          <w:bCs/>
          <w:iCs/>
        </w:rPr>
        <w:t>на 01 января 2010 года учтено 2253 предприятия и организации</w:t>
      </w:r>
      <w:r w:rsidRPr="004A1707">
        <w:rPr>
          <w:b/>
          <w:bCs/>
          <w:iCs/>
        </w:rPr>
        <w:t xml:space="preserve"> </w:t>
      </w:r>
      <w:r w:rsidRPr="004A1707">
        <w:rPr>
          <w:bCs/>
          <w:iCs/>
        </w:rPr>
        <w:t xml:space="preserve">и 2998 индивидуальных предпринимателей. </w:t>
      </w:r>
    </w:p>
    <w:p w:rsidR="00466C92" w:rsidRPr="004A1707" w:rsidRDefault="00466C92" w:rsidP="00466C92">
      <w:pPr>
        <w:ind w:firstLine="539"/>
        <w:jc w:val="both"/>
        <w:rPr>
          <w:szCs w:val="28"/>
        </w:rPr>
      </w:pPr>
      <w:r w:rsidRPr="004A1707">
        <w:rPr>
          <w:szCs w:val="28"/>
        </w:rPr>
        <w:t>Из 2253 организаций и предприятий округа – 1875 частной формы собственности, из 1735 коммерческих организаций 1537 имеют организационно-правовую форму – Общество с ограниченной ответственностью и 68 являются акционерными обществами.</w:t>
      </w:r>
    </w:p>
    <w:p w:rsidR="006E368D" w:rsidRPr="004A1707" w:rsidRDefault="006E368D" w:rsidP="004A1707">
      <w:pPr>
        <w:ind w:firstLine="539"/>
        <w:jc w:val="both"/>
        <w:rPr>
          <w:bCs/>
          <w:iCs/>
        </w:rPr>
      </w:pPr>
      <w:r w:rsidRPr="004A1707">
        <w:rPr>
          <w:bCs/>
          <w:iCs/>
        </w:rPr>
        <w:t>Основная доля предприятий и предпринимателей занимаются оптовой и розничной торговлей, ремонтом автотранспорта и бытовых изделий</w:t>
      </w:r>
      <w:r w:rsidR="00286011" w:rsidRPr="004A1707">
        <w:rPr>
          <w:bCs/>
          <w:iCs/>
        </w:rPr>
        <w:t xml:space="preserve">, заняты в сфере услуг. </w:t>
      </w:r>
    </w:p>
    <w:p w:rsidR="0061084F" w:rsidRPr="004A1707" w:rsidRDefault="0061084F" w:rsidP="00286011">
      <w:pPr>
        <w:spacing w:line="360" w:lineRule="auto"/>
        <w:ind w:firstLine="709"/>
        <w:jc w:val="both"/>
        <w:rPr>
          <w:bCs/>
          <w:iCs/>
        </w:rPr>
      </w:pPr>
    </w:p>
    <w:p w:rsidR="00E1335F" w:rsidRPr="004A1707" w:rsidRDefault="00E1335F" w:rsidP="00E1335F">
      <w:pPr>
        <w:ind w:firstLine="539"/>
        <w:jc w:val="center"/>
        <w:rPr>
          <w:b/>
          <w:bCs/>
          <w:iCs/>
        </w:rPr>
      </w:pPr>
      <w:r w:rsidRPr="004A1707">
        <w:rPr>
          <w:b/>
          <w:bCs/>
          <w:iCs/>
        </w:rPr>
        <w:t>Промышленное производство</w:t>
      </w:r>
    </w:p>
    <w:p w:rsidR="00E1335F" w:rsidRPr="004A1707" w:rsidRDefault="00E1335F" w:rsidP="00E1335F">
      <w:pPr>
        <w:pStyle w:val="a6"/>
        <w:ind w:firstLine="540"/>
      </w:pPr>
      <w:r w:rsidRPr="004A1707">
        <w:t>В 2009 году крупными и средними организациями, занятыми в добывающих и обрабатывающих производствах, производстве и распределении электроэнергии, отгружено товаров собственного производства, выполнено работ и услуг собственными силами на</w:t>
      </w:r>
      <w:r w:rsidRPr="004A1707">
        <w:rPr>
          <w:b/>
        </w:rPr>
        <w:t xml:space="preserve"> </w:t>
      </w:r>
      <w:r w:rsidRPr="004A1707">
        <w:t xml:space="preserve">2511,7 млн. руб., что на 41,9% больше чем в 2008 году. </w:t>
      </w:r>
    </w:p>
    <w:p w:rsidR="00E1335F" w:rsidRPr="004A1707" w:rsidRDefault="00E1335F" w:rsidP="00E1335F">
      <w:pPr>
        <w:autoSpaceDE w:val="0"/>
        <w:autoSpaceDN w:val="0"/>
        <w:adjustRightInd w:val="0"/>
        <w:ind w:firstLine="540"/>
        <w:jc w:val="both"/>
        <w:rPr>
          <w:rFonts w:eastAsia="Calibri"/>
        </w:rPr>
      </w:pPr>
      <w:r w:rsidRPr="004A1707">
        <w:rPr>
          <w:rFonts w:eastAsia="Calibri"/>
        </w:rPr>
        <w:t>Прирост объемов отгруженной продукции обеспечили:</w:t>
      </w:r>
    </w:p>
    <w:p w:rsidR="00E1335F" w:rsidRPr="004A1707" w:rsidRDefault="00E1335F" w:rsidP="00E1335F">
      <w:pPr>
        <w:numPr>
          <w:ilvl w:val="0"/>
          <w:numId w:val="3"/>
        </w:numPr>
        <w:autoSpaceDE w:val="0"/>
        <w:autoSpaceDN w:val="0"/>
        <w:adjustRightInd w:val="0"/>
        <w:jc w:val="both"/>
        <w:rPr>
          <w:rFonts w:eastAsia="Calibri"/>
        </w:rPr>
      </w:pPr>
      <w:r w:rsidRPr="004A1707">
        <w:rPr>
          <w:rFonts w:eastAsia="Calibri"/>
        </w:rPr>
        <w:lastRenderedPageBreak/>
        <w:t>предприятия, занятые добычей полезных ископаемых (в 2 раза к уровню 2008 года): рост объемов отгрузки обеспечен увеличением добычи камня строительного;</w:t>
      </w:r>
    </w:p>
    <w:p w:rsidR="00E1335F" w:rsidRPr="004A1707" w:rsidRDefault="00E1335F" w:rsidP="00E1335F">
      <w:pPr>
        <w:numPr>
          <w:ilvl w:val="0"/>
          <w:numId w:val="3"/>
        </w:numPr>
        <w:autoSpaceDE w:val="0"/>
        <w:autoSpaceDN w:val="0"/>
        <w:adjustRightInd w:val="0"/>
        <w:jc w:val="both"/>
        <w:rPr>
          <w:rFonts w:eastAsia="Calibri"/>
        </w:rPr>
      </w:pPr>
      <w:r w:rsidRPr="004A1707">
        <w:rPr>
          <w:rFonts w:eastAsia="Calibri"/>
        </w:rPr>
        <w:t>предприятия, занятые производством и распределением электроэнергии</w:t>
      </w:r>
      <w:r w:rsidRPr="004A1707">
        <w:rPr>
          <w:rFonts w:eastAsia="Calibri"/>
          <w:i/>
          <w:iCs/>
        </w:rPr>
        <w:t xml:space="preserve">, </w:t>
      </w:r>
      <w:r w:rsidRPr="004A1707">
        <w:rPr>
          <w:rFonts w:eastAsia="Calibri"/>
        </w:rPr>
        <w:t xml:space="preserve">газа и воды (107,1% к уровню 2008 года); </w:t>
      </w:r>
    </w:p>
    <w:p w:rsidR="00E1335F" w:rsidRPr="004A1707" w:rsidRDefault="00E1335F" w:rsidP="00E1335F">
      <w:pPr>
        <w:numPr>
          <w:ilvl w:val="0"/>
          <w:numId w:val="3"/>
        </w:numPr>
        <w:autoSpaceDE w:val="0"/>
        <w:autoSpaceDN w:val="0"/>
        <w:adjustRightInd w:val="0"/>
        <w:jc w:val="both"/>
        <w:rPr>
          <w:rFonts w:eastAsia="Calibri"/>
        </w:rPr>
      </w:pPr>
      <w:r w:rsidRPr="004A1707">
        <w:rPr>
          <w:rFonts w:eastAsia="Calibri"/>
        </w:rPr>
        <w:t>обрабатывающие производства (139,9% к уровню 2009 года).</w:t>
      </w:r>
    </w:p>
    <w:p w:rsidR="00E1335F" w:rsidRPr="004A1707" w:rsidRDefault="00E1335F" w:rsidP="00E1335F">
      <w:pPr>
        <w:autoSpaceDE w:val="0"/>
        <w:autoSpaceDN w:val="0"/>
        <w:adjustRightInd w:val="0"/>
        <w:ind w:firstLine="708"/>
        <w:jc w:val="both"/>
        <w:rPr>
          <w:rFonts w:eastAsia="Calibri"/>
        </w:rPr>
      </w:pPr>
      <w:r w:rsidRPr="004A1707">
        <w:rPr>
          <w:rFonts w:eastAsia="Calibri"/>
        </w:rPr>
        <w:t>Рост объемов отгруженной продукции также отмечен на предприятиях и организациях занятых производством пищевых продуктов (107,5%), ремонтом и техническим обслуживанием электрооборудования (в 2,5 р.)</w:t>
      </w:r>
    </w:p>
    <w:p w:rsidR="00E1335F" w:rsidRPr="004A1707" w:rsidRDefault="00E1335F" w:rsidP="00E1335F">
      <w:pPr>
        <w:pStyle w:val="a6"/>
        <w:ind w:firstLine="540"/>
        <w:rPr>
          <w:b/>
        </w:rPr>
      </w:pPr>
      <w:r w:rsidRPr="004A1707">
        <w:t>По ряду обрабатывающих производств в отчетном периоде отмечено снижение объемов по сравнению с прошлым годом:</w:t>
      </w:r>
      <w:r w:rsidRPr="004A1707">
        <w:rPr>
          <w:b/>
        </w:rPr>
        <w:t xml:space="preserve"> </w:t>
      </w:r>
      <w:r w:rsidRPr="004A1707">
        <w:t>в швейном производстве (-19.8%), на производстве прочих неметаллических минеральных продуктов</w:t>
      </w:r>
      <w:r w:rsidRPr="004A1707">
        <w:rPr>
          <w:b/>
        </w:rPr>
        <w:t xml:space="preserve"> </w:t>
      </w:r>
      <w:r w:rsidRPr="004A1707">
        <w:t>(производство изделий из бетона) (-24,7%), в производстве мебели (-23%), в производстве готовых металлических изделий (-8,3%).</w:t>
      </w:r>
      <w:r w:rsidRPr="004A1707">
        <w:rPr>
          <w:b/>
        </w:rPr>
        <w:t xml:space="preserve"> </w:t>
      </w:r>
    </w:p>
    <w:p w:rsidR="0061084F" w:rsidRPr="004A1707" w:rsidRDefault="0061084F" w:rsidP="00E1335F">
      <w:pPr>
        <w:pStyle w:val="a6"/>
        <w:ind w:firstLine="540"/>
      </w:pPr>
    </w:p>
    <w:p w:rsidR="0061084F" w:rsidRPr="004A1707" w:rsidRDefault="0061084F" w:rsidP="0061084F">
      <w:pPr>
        <w:pStyle w:val="a6"/>
        <w:ind w:firstLine="540"/>
        <w:jc w:val="center"/>
        <w:rPr>
          <w:b/>
        </w:rPr>
      </w:pPr>
      <w:r w:rsidRPr="004A1707">
        <w:rPr>
          <w:b/>
        </w:rPr>
        <w:t>Сельское хозяйство</w:t>
      </w:r>
    </w:p>
    <w:p w:rsidR="0061084F" w:rsidRPr="004A1707" w:rsidRDefault="0061084F" w:rsidP="0061084F">
      <w:pPr>
        <w:ind w:firstLine="567"/>
        <w:jc w:val="both"/>
      </w:pPr>
      <w:r w:rsidRPr="004A1707">
        <w:t>Оборот крупных и средних сельхозорганизаций города на 01.01.2010г. составил 2518,4 млн. рублей или 112,1% в сопоставимых ценах к соответствующему периоду 2008 года.</w:t>
      </w:r>
    </w:p>
    <w:p w:rsidR="0061084F" w:rsidRPr="004A1707" w:rsidRDefault="0061084F" w:rsidP="0061084F">
      <w:pPr>
        <w:ind w:firstLine="567"/>
        <w:jc w:val="both"/>
      </w:pPr>
      <w:r w:rsidRPr="004A1707">
        <w:rPr>
          <w:noProof/>
        </w:rPr>
        <w:drawing>
          <wp:inline distT="0" distB="0" distL="0" distR="0">
            <wp:extent cx="5429250" cy="293370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3275A" w:rsidRPr="004A1707" w:rsidRDefault="0061084F" w:rsidP="0061084F">
      <w:pPr>
        <w:ind w:firstLine="567"/>
        <w:jc w:val="both"/>
      </w:pPr>
      <w:r w:rsidRPr="004A1707">
        <w:t xml:space="preserve">Согласно предварительным данным индекс физического объема валовой продукции сельского хозяйства увеличился по сравнению с аналогичным периодом прошлого года на 21,8 %. Полученный результат достигнут за счет увеличения объемов производства в ООО «Птицефабрика «Уссурийская», ООО «Приморская овощная опытная станция», ЗАО «Михайловский бройлер». </w:t>
      </w:r>
    </w:p>
    <w:p w:rsidR="0061084F" w:rsidRPr="004A1707" w:rsidRDefault="0061084F" w:rsidP="0061084F">
      <w:pPr>
        <w:ind w:firstLine="567"/>
        <w:jc w:val="both"/>
      </w:pPr>
      <w:r w:rsidRPr="004A1707">
        <w:t>Сельскохозяйственные производители округа являются основными поставщиками на продовольственный рынок края таких необходимых для жизни человека продуктов питания, как продовольственное зерно, картофель, овощи, мясо, молоко и яйцо.</w:t>
      </w:r>
    </w:p>
    <w:p w:rsidR="0061084F" w:rsidRPr="004A1707" w:rsidRDefault="0061084F" w:rsidP="0061084F">
      <w:pPr>
        <w:ind w:firstLine="567"/>
        <w:jc w:val="both"/>
      </w:pPr>
      <w:r w:rsidRPr="004A1707">
        <w:t>Наибольший объем выпуска продукции сельского хозяйства в округе приходится на крупные и средние сельскохозяйственные предприятия (оборот составил 2518,4 млн. рублей или 112,1% к уровню 2008 года).</w:t>
      </w:r>
    </w:p>
    <w:p w:rsidR="0061084F" w:rsidRPr="004A1707" w:rsidRDefault="0061084F" w:rsidP="0061084F">
      <w:pPr>
        <w:ind w:firstLine="567"/>
        <w:jc w:val="both"/>
      </w:pPr>
      <w:r w:rsidRPr="004A1707">
        <w:t>Сельское хозяйство Артема представлено двумя отраслями – растениеводством и животноводством.</w:t>
      </w:r>
    </w:p>
    <w:p w:rsidR="003920EA" w:rsidRDefault="0061084F" w:rsidP="0061084F">
      <w:pPr>
        <w:ind w:firstLine="567"/>
        <w:jc w:val="both"/>
      </w:pPr>
      <w:r w:rsidRPr="004A1707">
        <w:t xml:space="preserve">В 2009 году в Артемовском городском округе была отмечена самая высокая урожайность картофеля среди территорий Приморского края – 133,9 центнеров с 1 гектара </w:t>
      </w:r>
      <w:r w:rsidR="003D66BE" w:rsidRPr="004A1707">
        <w:t>(114,5% к уровню 2008 года)</w:t>
      </w:r>
      <w:r w:rsidRPr="004A1707">
        <w:t xml:space="preserve">. </w:t>
      </w:r>
    </w:p>
    <w:p w:rsidR="0061084F" w:rsidRPr="004A1707" w:rsidRDefault="0061084F" w:rsidP="0061084F">
      <w:pPr>
        <w:ind w:firstLine="567"/>
        <w:jc w:val="both"/>
      </w:pPr>
      <w:r w:rsidRPr="004A1707">
        <w:t xml:space="preserve">Согласно данным Федеральной службы государственной статистики за 2009 год урожайность зерновых и зернобобовых культур на территории Артема выше среднекраевого значения на 1,1 центнера с 1 гектара убранной площади. В Артеме отмечен наибольший </w:t>
      </w:r>
      <w:r w:rsidRPr="004A1707">
        <w:lastRenderedPageBreak/>
        <w:t>показатель среди территорий края по урожайности овощей убранных с открытого грунта в хозяйствах всех категорий (119,6% к уровню 2008 года)</w:t>
      </w:r>
      <w:r w:rsidR="003D66BE" w:rsidRPr="004A1707">
        <w:t>.</w:t>
      </w:r>
    </w:p>
    <w:p w:rsidR="0061084F" w:rsidRPr="004A1707" w:rsidRDefault="0061084F" w:rsidP="0061084F">
      <w:pPr>
        <w:ind w:firstLine="567"/>
        <w:jc w:val="both"/>
      </w:pPr>
      <w:r w:rsidRPr="004A1707">
        <w:t>В хозяйствах Артема по результатам истекшего периода 2009 года отмечен наибольший по сравнению с хозяйствами других территорий края рост объемов реализации овощей.</w:t>
      </w:r>
    </w:p>
    <w:p w:rsidR="0061084F" w:rsidRPr="004A1707" w:rsidRDefault="0061084F" w:rsidP="0061084F">
      <w:pPr>
        <w:ind w:firstLine="567"/>
        <w:jc w:val="both"/>
      </w:pPr>
      <w:r w:rsidRPr="004A1707">
        <w:t>Поголовье скота в хозяйствах всех категорий на 1 января 2010 года составило: крупного рогатого скота – 1493 головы (97,3% к соответствующему периоду прошлого года), из них коров – 785 (97%); свиней – 2241 (84,5%); овец и коз – 637 (83,7%).</w:t>
      </w:r>
    </w:p>
    <w:p w:rsidR="0061084F" w:rsidRPr="004A1707" w:rsidRDefault="0061084F" w:rsidP="0061084F">
      <w:pPr>
        <w:ind w:firstLine="567"/>
        <w:jc w:val="both"/>
      </w:pPr>
      <w:r w:rsidRPr="004A1707">
        <w:t>Произошли изменения (в сторону уменьшения) в хозяйствах населения. По отношению к 01.01.2009г. поголовье крупного рогатого скота уменьшилось на 13,7%, в том числе коров – на 8,6%; поголовье свиней уменьшилось на 12,2%, а птиц на 22,9%. В связи с этим уменьшилось и производство продуктов животноводства в хозяйствах населения: мясо – на 13,3%, молоко – на 7,8%, яйцо – на 2%.</w:t>
      </w:r>
    </w:p>
    <w:p w:rsidR="0061084F" w:rsidRPr="004A1707" w:rsidRDefault="003D66BE" w:rsidP="0061084F">
      <w:pPr>
        <w:ind w:firstLine="567"/>
        <w:jc w:val="both"/>
      </w:pPr>
      <w:r w:rsidRPr="004A1707">
        <w:t>Увеличилось п</w:t>
      </w:r>
      <w:r w:rsidR="0061084F" w:rsidRPr="004A1707">
        <w:t>роизводство основных продуктов животноводства в хозяйствах всех категорий: мясо скота и птицы в живой массе – 29022 тонны (102,5% к уровню 2008 года), молоко – 3038 тонн (99,5%), яйцо – 179,35 млн. штук (118,2% к уровню 2008 года).</w:t>
      </w:r>
    </w:p>
    <w:p w:rsidR="0061084F" w:rsidRPr="004A1707" w:rsidRDefault="0061084F" w:rsidP="0061084F">
      <w:pPr>
        <w:ind w:firstLine="567"/>
        <w:jc w:val="both"/>
      </w:pPr>
      <w:r w:rsidRPr="004A1707">
        <w:t>Увеличение объемов реализуемой продукции животноводства по отношению к результатам 2008 года отмечено и в сельскохозяйственных организациях: скот и птица в живой массе - 101,7%, молоко – 112,4%, яйцо – 116,9%.</w:t>
      </w:r>
    </w:p>
    <w:p w:rsidR="0061084F" w:rsidRPr="004A1707" w:rsidRDefault="0061084F" w:rsidP="0061084F">
      <w:pPr>
        <w:ind w:firstLine="567"/>
        <w:jc w:val="both"/>
      </w:pPr>
      <w:r w:rsidRPr="004A1707">
        <w:t xml:space="preserve">В сельскохозяйственных организациях Артема зафиксирована самая высокая продуктивность коров в крае. На одну корову по оценке надоено в среднем 3870 килограмм молока (на 8,9% больше среднекраевого значения – 3555кг молока). В расчете на одну курицу-несушку за период январь-октябрь 2009 года получено по 226 яиц (на 1,7% больше аналогичного периода 2008 года). </w:t>
      </w:r>
    </w:p>
    <w:p w:rsidR="0061084F" w:rsidRPr="004A1707" w:rsidRDefault="0061084F" w:rsidP="0061084F">
      <w:pPr>
        <w:ind w:firstLine="567"/>
        <w:jc w:val="both"/>
      </w:pPr>
      <w:r w:rsidRPr="004A1707">
        <w:t>Согласно данным Федеральной службы государственной статистики за 2009 год среди территорий края в хозяйствах Артема отмечен наибольший показатель производства мяса, молока и яиц, а также отмечен наибольший рост объемов реализации овощей, скота и птицы.</w:t>
      </w:r>
    </w:p>
    <w:p w:rsidR="00E1335F" w:rsidRPr="004A1707" w:rsidRDefault="00E1335F" w:rsidP="00A52DEC">
      <w:pPr>
        <w:spacing w:line="360" w:lineRule="auto"/>
        <w:ind w:firstLine="709"/>
        <w:jc w:val="center"/>
        <w:rPr>
          <w:b/>
          <w:bCs/>
          <w:iCs/>
        </w:rPr>
      </w:pPr>
    </w:p>
    <w:p w:rsidR="003D66BE" w:rsidRPr="004A1707" w:rsidRDefault="003D66BE" w:rsidP="003D66BE">
      <w:pPr>
        <w:ind w:firstLine="540"/>
        <w:jc w:val="center"/>
        <w:rPr>
          <w:b/>
        </w:rPr>
      </w:pPr>
      <w:r w:rsidRPr="004A1707">
        <w:rPr>
          <w:b/>
        </w:rPr>
        <w:t>Потребительский рынок</w:t>
      </w:r>
    </w:p>
    <w:p w:rsidR="003D66BE" w:rsidRPr="004A1707" w:rsidRDefault="003D66BE" w:rsidP="003D66BE">
      <w:pPr>
        <w:ind w:firstLine="567"/>
        <w:jc w:val="both"/>
      </w:pPr>
      <w:r w:rsidRPr="004A1707">
        <w:t xml:space="preserve">Ситуация на потребительском рынке товаров и услуг по итогам 2009 года резких изменений не претерпела. </w:t>
      </w:r>
    </w:p>
    <w:p w:rsidR="003D66BE" w:rsidRPr="004A1707" w:rsidRDefault="003D66BE" w:rsidP="003D66BE">
      <w:pPr>
        <w:ind w:firstLine="567"/>
        <w:jc w:val="both"/>
      </w:pPr>
      <w:r w:rsidRPr="004A1707">
        <w:rPr>
          <w:noProof/>
        </w:rPr>
        <w:drawing>
          <wp:inline distT="0" distB="0" distL="0" distR="0">
            <wp:extent cx="5419725" cy="3505200"/>
            <wp:effectExtent l="19050" t="0" r="0" b="0"/>
            <wp:docPr id="7"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D66BE" w:rsidRPr="004A1707" w:rsidRDefault="003D66BE" w:rsidP="003D66BE">
      <w:pPr>
        <w:ind w:firstLine="567"/>
        <w:jc w:val="both"/>
      </w:pPr>
    </w:p>
    <w:p w:rsidR="003D66BE" w:rsidRPr="004A1707" w:rsidRDefault="003D66BE" w:rsidP="003D66BE">
      <w:pPr>
        <w:ind w:firstLine="567"/>
        <w:jc w:val="both"/>
      </w:pPr>
    </w:p>
    <w:p w:rsidR="003D66BE" w:rsidRPr="004A1707" w:rsidRDefault="003D66BE" w:rsidP="003D66BE">
      <w:pPr>
        <w:ind w:firstLine="567"/>
        <w:jc w:val="both"/>
      </w:pPr>
      <w:r w:rsidRPr="004A1707">
        <w:lastRenderedPageBreak/>
        <w:t>Сфера торговли – важнейшая часть потребительского рынка, наиболее гибкая отрасль городского хозяйства, реагирующая на изменения всех социальных факторов и являющаяся важным индикатором социально-экономического развития города.</w:t>
      </w:r>
    </w:p>
    <w:p w:rsidR="003D66BE" w:rsidRPr="004A1707" w:rsidRDefault="003D66BE" w:rsidP="003D66BE">
      <w:pPr>
        <w:ind w:firstLine="567"/>
        <w:jc w:val="both"/>
      </w:pPr>
      <w:r w:rsidRPr="004A1707">
        <w:rPr>
          <w:b/>
        </w:rPr>
        <w:t>Розничный товарооборот предприятий</w:t>
      </w:r>
      <w:r w:rsidRPr="004A1707">
        <w:t xml:space="preserve"> торговли за 2009 год составил 5810,8 млн. руб., что составляет 101,1% в сопоставимых ценах к 2008году.</w:t>
      </w:r>
    </w:p>
    <w:p w:rsidR="003D66BE" w:rsidRPr="004A1707" w:rsidRDefault="003D66BE" w:rsidP="003D66BE">
      <w:pPr>
        <w:ind w:firstLine="567"/>
        <w:jc w:val="both"/>
      </w:pPr>
      <w:r w:rsidRPr="004A1707">
        <w:t xml:space="preserve">Оборот розничной торговли сформирован на 84% торгующими организациями и индивидуальными предпринимателями, осуществляющими торговлю вне рынка, на 16% - за счет продажи на рынках. </w:t>
      </w:r>
    </w:p>
    <w:p w:rsidR="003D66BE" w:rsidRPr="004A1707" w:rsidRDefault="003D66BE" w:rsidP="003D66BE">
      <w:pPr>
        <w:ind w:firstLine="567"/>
        <w:jc w:val="both"/>
      </w:pPr>
      <w:r w:rsidRPr="004A1707">
        <w:t>В структуре предприятий торговли промышленные магазины занимают 54% от общего количества предприятий торговли, продовольственные магазины 40 %, смешанные 6%.</w:t>
      </w:r>
    </w:p>
    <w:p w:rsidR="00CE636F" w:rsidRPr="004A1707" w:rsidRDefault="00CE636F" w:rsidP="00CE636F">
      <w:pPr>
        <w:ind w:firstLine="567"/>
        <w:jc w:val="center"/>
      </w:pPr>
      <w:r w:rsidRPr="004A1707">
        <w:rPr>
          <w:noProof/>
        </w:rPr>
        <w:drawing>
          <wp:inline distT="0" distB="0" distL="0" distR="0">
            <wp:extent cx="4876800" cy="2190750"/>
            <wp:effectExtent l="0" t="0" r="0" b="0"/>
            <wp:docPr id="9"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66BE" w:rsidRPr="004A1707" w:rsidRDefault="003D66BE" w:rsidP="003D66BE">
      <w:pPr>
        <w:ind w:firstLine="567"/>
        <w:jc w:val="both"/>
      </w:pPr>
      <w:r w:rsidRPr="004A1707">
        <w:t>Удельный вес продовольственных товаров по итогам 2009 года, включая напитки, составил 46,4%. За 2009 год продовольственных товаров реализовано на 2696,2 млн. руб. (уровень прошлого года), непродовольственных – на 3114,6 млн. руб. (ниже соответствующего периода прошлого года на 1%).</w:t>
      </w:r>
    </w:p>
    <w:p w:rsidR="003D66BE" w:rsidRPr="004A1707" w:rsidRDefault="003D66BE" w:rsidP="00CE636F">
      <w:pPr>
        <w:ind w:firstLine="567"/>
        <w:jc w:val="both"/>
      </w:pPr>
      <w:r w:rsidRPr="004A1707">
        <w:t>Вместе с тем рынки продолжают оставаться важным сегментом в насыщении потребительскими товарами широких слоев населения по более доступным ценам. Товарооборот рынков за 2009 год составил 16,1 % от общего оборота и вырос в сравнении с аналогичным периодом прошлого года на 16,5% в сопоставимых ценах</w:t>
      </w:r>
      <w:r w:rsidR="00CE636F" w:rsidRPr="004A1707">
        <w:t xml:space="preserve"> и на </w:t>
      </w:r>
      <w:r w:rsidRPr="004A1707">
        <w:t xml:space="preserve">43% в действующих ценах. </w:t>
      </w:r>
    </w:p>
    <w:p w:rsidR="003D66BE" w:rsidRPr="004A1707" w:rsidRDefault="003D66BE" w:rsidP="003D66BE">
      <w:pPr>
        <w:ind w:firstLine="567"/>
        <w:jc w:val="both"/>
      </w:pPr>
      <w:r w:rsidRPr="004A1707">
        <w:t>В 2009 году увеличилось количество оптовых складов: в 2008 осуществляли деятельность 27 предприятий, в 2009 -31, рост составил 15%.</w:t>
      </w:r>
    </w:p>
    <w:p w:rsidR="003D66BE" w:rsidRPr="004A1707" w:rsidRDefault="003D66BE" w:rsidP="003D66BE">
      <w:pPr>
        <w:ind w:firstLine="567"/>
        <w:jc w:val="both"/>
      </w:pPr>
      <w:r w:rsidRPr="004A1707">
        <w:rPr>
          <w:b/>
        </w:rPr>
        <w:t>Оборот предприятий общественного питания</w:t>
      </w:r>
      <w:r w:rsidRPr="004A1707">
        <w:t xml:space="preserve"> за 2009 год достиг 418,3 млн. руб., что составляет 103,1% в сопоставимых ценах к показателю прошлого года.</w:t>
      </w:r>
    </w:p>
    <w:p w:rsidR="003D66BE" w:rsidRPr="004A1707" w:rsidRDefault="003D66BE" w:rsidP="003D66BE">
      <w:pPr>
        <w:ind w:firstLine="567"/>
        <w:jc w:val="both"/>
      </w:pPr>
      <w:r w:rsidRPr="004A1707">
        <w:t>Количество предприятий общественного питания за 12 месяцев 2009 г. увеличилось на 6%. Наибольшую долю в обороте общественного питания занимают индивидуальные предприниматели, оказывающие ус</w:t>
      </w:r>
      <w:r w:rsidR="00CE636F" w:rsidRPr="004A1707">
        <w:t>луги общественного питания,</w:t>
      </w:r>
      <w:r w:rsidRPr="004A1707">
        <w:t xml:space="preserve"> на долю малых предприятий приходится 43% от общего оборота. </w:t>
      </w:r>
    </w:p>
    <w:p w:rsidR="003D66BE" w:rsidRPr="004A1707" w:rsidRDefault="003D66BE" w:rsidP="003D66BE">
      <w:pPr>
        <w:ind w:firstLine="567"/>
        <w:jc w:val="both"/>
      </w:pPr>
      <w:r w:rsidRPr="004A1707">
        <w:rPr>
          <w:b/>
        </w:rPr>
        <w:t>Объем бытовых услуг</w:t>
      </w:r>
      <w:r w:rsidRPr="004A1707">
        <w:t xml:space="preserve">, оказанных населению округа составил 173,9 млн.рублей, что составляет 99,9% к уровню </w:t>
      </w:r>
      <w:r w:rsidR="00565438">
        <w:t>2008</w:t>
      </w:r>
      <w:r w:rsidRPr="004A1707">
        <w:t xml:space="preserve"> года. В 2009 году сохранилась тенденция открытия новых предприятий сферы бытовых услуг, за указанный период их открылось 30, на которых создано 104 рабочих места. Наибольший удельный вес от общего числа предприятий занимают парикмахерские – 21 %. Основная доля выполненных бытовых услуг приходится на физические лица.</w:t>
      </w:r>
    </w:p>
    <w:p w:rsidR="003D66BE" w:rsidRPr="004A1707" w:rsidRDefault="003D66BE" w:rsidP="003D66BE">
      <w:pPr>
        <w:ind w:firstLine="567"/>
        <w:jc w:val="both"/>
      </w:pPr>
      <w:r w:rsidRPr="004A1707">
        <w:t>Мониторинг цен на потребительском рынке показывает, что в течение 2009 г. произошло снижение розничных цены на молоко -1%, масло растительное -24%, муку пшеничную –11%, яйцо -3%, рис шлифованный -6%; вместе с тем повысились цены на мясо говядины +10%, мясо свинины +6%, сахар +36%, соль +12%. Цены на хлеб остались на прежнем уровне.</w:t>
      </w:r>
    </w:p>
    <w:p w:rsidR="00E1335F" w:rsidRPr="004A1707" w:rsidRDefault="00E1335F" w:rsidP="00A52DEC">
      <w:pPr>
        <w:spacing w:line="360" w:lineRule="auto"/>
        <w:ind w:firstLine="709"/>
        <w:jc w:val="center"/>
        <w:rPr>
          <w:b/>
          <w:bCs/>
          <w:iCs/>
        </w:rPr>
      </w:pPr>
    </w:p>
    <w:p w:rsidR="00487C8C" w:rsidRPr="004A1707" w:rsidRDefault="00487C8C" w:rsidP="00487C8C">
      <w:pPr>
        <w:pStyle w:val="a6"/>
        <w:jc w:val="center"/>
        <w:rPr>
          <w:b/>
        </w:rPr>
      </w:pPr>
      <w:r w:rsidRPr="004A1707">
        <w:rPr>
          <w:b/>
        </w:rPr>
        <w:t>Инвестиции и строительство</w:t>
      </w:r>
    </w:p>
    <w:p w:rsidR="00487C8C" w:rsidRPr="004A1707" w:rsidRDefault="00487C8C" w:rsidP="00487C8C">
      <w:pPr>
        <w:pStyle w:val="a6"/>
        <w:rPr>
          <w:bCs/>
        </w:rPr>
      </w:pPr>
      <w:r w:rsidRPr="004A1707">
        <w:rPr>
          <w:bCs/>
        </w:rPr>
        <w:lastRenderedPageBreak/>
        <w:t>На развитие экономики и социальной сферы города за счет всех источников финансирования по оценке за 9 месяцев 2009 года было использовано 1630,3 млн. руб. инвестиций в основной капитал, что составило 138,6% (в сопоставимых ценах) уровня 2008 года.</w:t>
      </w:r>
      <w:r w:rsidRPr="004A1707">
        <w:rPr>
          <w:b/>
          <w:bCs/>
        </w:rPr>
        <w:t xml:space="preserve"> </w:t>
      </w:r>
      <w:r w:rsidRPr="004A1707">
        <w:rPr>
          <w:bCs/>
        </w:rPr>
        <w:t xml:space="preserve">Удельный вес инвестиций Артема составил 2,1% в общекраевом объеме. </w:t>
      </w:r>
    </w:p>
    <w:p w:rsidR="00487C8C" w:rsidRPr="004A1707" w:rsidRDefault="00487C8C" w:rsidP="00487C8C">
      <w:pPr>
        <w:pStyle w:val="a6"/>
        <w:rPr>
          <w:bCs/>
        </w:rPr>
      </w:pPr>
      <w:r w:rsidRPr="004A1707">
        <w:rPr>
          <w:bCs/>
        </w:rPr>
        <w:t xml:space="preserve">Крупными и средними организациями, включая ОАО Примгенерация, АКОС, НТК, Примуголь, Приморские электрические сети, Департаментом ЖКХ инвестировано 1325,3 млн.руб. </w:t>
      </w:r>
      <w:r w:rsidR="00565438">
        <w:rPr>
          <w:bCs/>
        </w:rPr>
        <w:t xml:space="preserve">или </w:t>
      </w:r>
      <w:r w:rsidRPr="004A1707">
        <w:rPr>
          <w:bCs/>
        </w:rPr>
        <w:t>140,1% к январю-сентябрю 2008 года, в том числе крупными организациями Артема – 1207,1 млн.руб.</w:t>
      </w:r>
    </w:p>
    <w:p w:rsidR="00487C8C" w:rsidRPr="004A1707" w:rsidRDefault="00487C8C" w:rsidP="00487C8C">
      <w:pPr>
        <w:pStyle w:val="a6"/>
        <w:rPr>
          <w:bCs/>
        </w:rPr>
      </w:pPr>
      <w:r w:rsidRPr="004A1707">
        <w:rPr>
          <w:bCs/>
        </w:rPr>
        <w:t>Малыми организациями, включая индивидуальных застройщиков, освоено 305 миллионов рублей.</w:t>
      </w:r>
    </w:p>
    <w:p w:rsidR="00487C8C" w:rsidRPr="004A1707" w:rsidRDefault="00487C8C" w:rsidP="00487C8C">
      <w:pPr>
        <w:pStyle w:val="a6"/>
        <w:rPr>
          <w:bCs/>
        </w:rPr>
      </w:pPr>
      <w:r w:rsidRPr="004A1707">
        <w:rPr>
          <w:bCs/>
        </w:rPr>
        <w:t xml:space="preserve">В объеме инвестиций в основной капитал по крупным и средним организациям Артема инвестиции в здания и сооружения составили 74,5% от общего объема инвестиций крупных и средних организаций Артема, машины, оборудование и транспортные средства –24,3%. </w:t>
      </w:r>
    </w:p>
    <w:p w:rsidR="00487C8C" w:rsidRPr="004A1707" w:rsidRDefault="00487C8C" w:rsidP="00487C8C">
      <w:pPr>
        <w:pStyle w:val="a6"/>
        <w:rPr>
          <w:bCs/>
        </w:rPr>
      </w:pPr>
      <w:r w:rsidRPr="004A1707">
        <w:rPr>
          <w:bCs/>
        </w:rPr>
        <w:t>По видам экономической деятельности наибольший удельный вес в объеме инвестиций по городу составляют инвестиции в транспорт – 66,9%.</w:t>
      </w:r>
    </w:p>
    <w:p w:rsidR="00487C8C" w:rsidRPr="004A1707" w:rsidRDefault="00487C8C" w:rsidP="00487C8C">
      <w:pPr>
        <w:pStyle w:val="a6"/>
        <w:rPr>
          <w:bCs/>
        </w:rPr>
      </w:pPr>
    </w:p>
    <w:p w:rsidR="00487C8C" w:rsidRPr="004A1707" w:rsidRDefault="00487C8C" w:rsidP="00487C8C">
      <w:pPr>
        <w:pStyle w:val="a6"/>
        <w:jc w:val="center"/>
        <w:rPr>
          <w:bCs/>
        </w:rPr>
      </w:pPr>
      <w:r w:rsidRPr="004A1707">
        <w:rPr>
          <w:bCs/>
          <w:noProof/>
        </w:rPr>
        <w:drawing>
          <wp:inline distT="0" distB="0" distL="0" distR="0">
            <wp:extent cx="5495925" cy="3200400"/>
            <wp:effectExtent l="19050" t="0" r="0" b="0"/>
            <wp:docPr id="10"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87C8C" w:rsidRPr="004A1707" w:rsidRDefault="00487C8C" w:rsidP="00487C8C">
      <w:pPr>
        <w:pStyle w:val="a6"/>
        <w:rPr>
          <w:bCs/>
        </w:rPr>
      </w:pPr>
    </w:p>
    <w:p w:rsidR="00487C8C" w:rsidRPr="004A1707" w:rsidRDefault="00487C8C" w:rsidP="00487C8C">
      <w:pPr>
        <w:pStyle w:val="a6"/>
        <w:rPr>
          <w:bCs/>
        </w:rPr>
      </w:pPr>
    </w:p>
    <w:p w:rsidR="00487C8C" w:rsidRPr="004A1707" w:rsidRDefault="00487C8C" w:rsidP="00487C8C">
      <w:pPr>
        <w:pStyle w:val="a6"/>
      </w:pPr>
      <w:r w:rsidRPr="004A1707">
        <w:t>За 9 месяцев 2009 года в отрасли, производящие товары, было направлено 382,8 млн. руб. (31,7% от общего объема инвестиций), в отрасли оказывающие услуги – 824,3 млн. руб. (68,3%).</w:t>
      </w:r>
    </w:p>
    <w:p w:rsidR="00487C8C" w:rsidRPr="004A1707" w:rsidRDefault="00487C8C" w:rsidP="00487C8C">
      <w:pPr>
        <w:pStyle w:val="a6"/>
      </w:pPr>
      <w:r w:rsidRPr="004A1707">
        <w:t xml:space="preserve">В общем объеме инвестиций крупных и средних организаций Артема привлеченные средства составили 87,7%, из них 70,6% – бюджетные средства, в том числе из федерального бюджета 734 миллиона (69,3%). Кредиты банка составляют 25,5% от общего объема </w:t>
      </w:r>
      <w:r w:rsidR="00310598" w:rsidRPr="004A1707">
        <w:t>инвестиций</w:t>
      </w:r>
      <w:r w:rsidRPr="004A1707">
        <w:t>. Доля собственных средств организаций составила 12,2% общего объема, из них за счет прибыли, остающейся в распоряжении предприятия – 50,9%.</w:t>
      </w:r>
    </w:p>
    <w:p w:rsidR="00487C8C" w:rsidRPr="004A1707" w:rsidRDefault="00487C8C" w:rsidP="00487C8C">
      <w:pPr>
        <w:ind w:firstLine="567"/>
        <w:jc w:val="both"/>
      </w:pPr>
      <w:r w:rsidRPr="004A1707">
        <w:rPr>
          <w:rFonts w:eastAsia="Calibri"/>
          <w:b/>
        </w:rPr>
        <w:t>Объем работ</w:t>
      </w:r>
      <w:r w:rsidRPr="004A1707">
        <w:rPr>
          <w:rFonts w:eastAsia="Calibri"/>
          <w:b/>
          <w:bCs/>
        </w:rPr>
        <w:t xml:space="preserve">, </w:t>
      </w:r>
      <w:r w:rsidRPr="004A1707">
        <w:rPr>
          <w:rFonts w:eastAsia="Calibri"/>
          <w:b/>
        </w:rPr>
        <w:t xml:space="preserve">выполненный по виду деятельности </w:t>
      </w:r>
      <w:r w:rsidRPr="004A1707">
        <w:rPr>
          <w:rFonts w:eastAsia="Calibri"/>
          <w:b/>
          <w:bCs/>
        </w:rPr>
        <w:t>«</w:t>
      </w:r>
      <w:r w:rsidRPr="004A1707">
        <w:rPr>
          <w:rFonts w:eastAsia="Calibri"/>
          <w:b/>
        </w:rPr>
        <w:t>Строительство</w:t>
      </w:r>
      <w:r w:rsidRPr="004A1707">
        <w:rPr>
          <w:rFonts w:eastAsia="Calibri"/>
          <w:b/>
          <w:bCs/>
        </w:rPr>
        <w:t xml:space="preserve">» </w:t>
      </w:r>
      <w:r w:rsidRPr="004A1707">
        <w:rPr>
          <w:rFonts w:eastAsia="Calibri"/>
          <w:bCs/>
        </w:rPr>
        <w:t>организациями всех форм собственности</w:t>
      </w:r>
      <w:r w:rsidRPr="004A1707">
        <w:rPr>
          <w:rFonts w:eastAsia="Calibri"/>
          <w:b/>
          <w:bCs/>
        </w:rPr>
        <w:t xml:space="preserve"> </w:t>
      </w:r>
      <w:r w:rsidRPr="004A1707">
        <w:t xml:space="preserve">по итогам 2009 года равен 824,8 млн.руб., что в сопоставимых ценах к уровню 2008 года составило 83,1%. </w:t>
      </w:r>
    </w:p>
    <w:p w:rsidR="00487C8C" w:rsidRPr="004A1707" w:rsidRDefault="00487C8C" w:rsidP="00487C8C">
      <w:pPr>
        <w:ind w:firstLine="567"/>
        <w:jc w:val="both"/>
      </w:pPr>
      <w:r w:rsidRPr="004A1707">
        <w:rPr>
          <w:bCs/>
          <w:iCs/>
        </w:rPr>
        <w:t xml:space="preserve">Оборот крупных и средних строительных организаций округа </w:t>
      </w:r>
      <w:r w:rsidR="00C55E81" w:rsidRPr="004A1707">
        <w:rPr>
          <w:bCs/>
          <w:iCs/>
        </w:rPr>
        <w:t xml:space="preserve">по итогам 2009 года </w:t>
      </w:r>
      <w:r w:rsidRPr="004A1707">
        <w:t>в 1,7 раза больше оборота 2008 года.</w:t>
      </w:r>
    </w:p>
    <w:p w:rsidR="00487C8C" w:rsidRPr="004A1707" w:rsidRDefault="00487C8C" w:rsidP="00487C8C">
      <w:pPr>
        <w:ind w:firstLine="567"/>
        <w:jc w:val="both"/>
      </w:pPr>
      <w:r w:rsidRPr="004A1707">
        <w:t>В 2009 году введено в действие 31570 м</w:t>
      </w:r>
      <w:r w:rsidRPr="004A1707">
        <w:rPr>
          <w:vertAlign w:val="superscript"/>
        </w:rPr>
        <w:t xml:space="preserve">2 </w:t>
      </w:r>
      <w:r w:rsidRPr="004A1707">
        <w:t xml:space="preserve">общей площади жилых домов, </w:t>
      </w:r>
      <w:r w:rsidR="00C55E81" w:rsidRPr="004A1707">
        <w:t xml:space="preserve">что </w:t>
      </w:r>
      <w:r w:rsidRPr="004A1707">
        <w:t>в 1,8 раза больше, чем в 2008 году.</w:t>
      </w:r>
      <w:r w:rsidRPr="004A1707">
        <w:rPr>
          <w:b/>
        </w:rPr>
        <w:t xml:space="preserve"> </w:t>
      </w:r>
      <w:r w:rsidRPr="004A1707">
        <w:t>Из общей площади, введенных в Приморском крае жилых домов, на долю Артемовского городского округа приходится 8,1 % (четвертое место среди муниципальных образований края, после Владивостокского, Находкинского и Уссурийского городских округов).</w:t>
      </w:r>
    </w:p>
    <w:p w:rsidR="00487C8C" w:rsidRPr="004A1707" w:rsidRDefault="00487C8C" w:rsidP="00487C8C">
      <w:pPr>
        <w:ind w:firstLine="567"/>
        <w:jc w:val="both"/>
      </w:pPr>
      <w:r w:rsidRPr="004A1707">
        <w:lastRenderedPageBreak/>
        <w:t xml:space="preserve">В целях оказания содействия гражданам в приобретении жилья взамен сносимого ветхого за счет средств федерального бюджета в сумме 201964,9 тыс. руб., приобретено жилье для 115 семей, общей площадью </w:t>
      </w:r>
      <w:smartTag w:uri="urn:schemas-microsoft-com:office:smarttags" w:element="metricconverter">
        <w:smartTagPr>
          <w:attr w:name="ProductID" w:val="5361,8 м2"/>
        </w:smartTagPr>
        <w:r w:rsidRPr="004A1707">
          <w:t>5361,8 м</w:t>
        </w:r>
        <w:r w:rsidRPr="004A1707">
          <w:rPr>
            <w:vertAlign w:val="superscript"/>
          </w:rPr>
          <w:t>2</w:t>
        </w:r>
      </w:smartTag>
      <w:r w:rsidRPr="004A1707">
        <w:t>.</w:t>
      </w:r>
    </w:p>
    <w:p w:rsidR="006A67F9" w:rsidRPr="004A1707" w:rsidRDefault="006A67F9" w:rsidP="006A67F9">
      <w:pPr>
        <w:ind w:firstLine="540"/>
        <w:jc w:val="center"/>
        <w:rPr>
          <w:b/>
        </w:rPr>
      </w:pPr>
      <w:r w:rsidRPr="004A1707">
        <w:rPr>
          <w:b/>
        </w:rPr>
        <w:t>Транспорт и связь</w:t>
      </w:r>
    </w:p>
    <w:p w:rsidR="006A67F9" w:rsidRPr="004A1707" w:rsidRDefault="006A67F9" w:rsidP="006A67F9">
      <w:pPr>
        <w:ind w:firstLine="540"/>
        <w:jc w:val="both"/>
      </w:pPr>
    </w:p>
    <w:p w:rsidR="006A67F9" w:rsidRPr="004A1707" w:rsidRDefault="006A67F9" w:rsidP="006A67F9">
      <w:pPr>
        <w:ind w:firstLine="567"/>
        <w:jc w:val="both"/>
      </w:pPr>
      <w:r w:rsidRPr="004A1707">
        <w:t>Оборот крупных и средних предприятий транспортной сферы в отчетном периоде составил 10620,4 млн. руб. – 114,7% к уровню 2008 года.</w:t>
      </w:r>
    </w:p>
    <w:p w:rsidR="006A67F9" w:rsidRPr="004A1707" w:rsidRDefault="00F319E8" w:rsidP="006A67F9">
      <w:pPr>
        <w:ind w:firstLine="567"/>
        <w:jc w:val="both"/>
        <w:rPr>
          <w:b/>
        </w:rPr>
      </w:pPr>
      <w:r w:rsidRPr="004A1707">
        <w:t>Объем услуг</w:t>
      </w:r>
      <w:r w:rsidR="006A67F9" w:rsidRPr="004A1707">
        <w:t xml:space="preserve"> предприятий воздушного транспорта в отчетном периоде </w:t>
      </w:r>
      <w:r w:rsidRPr="004A1707">
        <w:t xml:space="preserve">увеличился </w:t>
      </w:r>
      <w:r w:rsidR="006A67F9" w:rsidRPr="004A1707">
        <w:t xml:space="preserve">на 14,4 % </w:t>
      </w:r>
      <w:r w:rsidRPr="004A1707">
        <w:t>по отношению к</w:t>
      </w:r>
      <w:r w:rsidR="006A67F9" w:rsidRPr="004A1707">
        <w:t xml:space="preserve"> 2008 году.</w:t>
      </w:r>
      <w:r w:rsidR="006A67F9" w:rsidRPr="004A1707">
        <w:rPr>
          <w:b/>
        </w:rPr>
        <w:t xml:space="preserve"> </w:t>
      </w:r>
    </w:p>
    <w:p w:rsidR="006A67F9" w:rsidRPr="004A1707" w:rsidRDefault="006A67F9" w:rsidP="006A67F9">
      <w:pPr>
        <w:ind w:firstLine="567"/>
        <w:jc w:val="both"/>
      </w:pPr>
      <w:r w:rsidRPr="004A1707">
        <w:t>За 2009 год увеличился оборот предприятий занимающихся деятельностью по наземному обслуживанию воздушных судов на 22,8%</w:t>
      </w:r>
      <w:r w:rsidR="00B77D44" w:rsidRPr="004A1707">
        <w:t xml:space="preserve"> и </w:t>
      </w:r>
      <w:r w:rsidRPr="004A1707">
        <w:t>оборот железнодорожных крупных и средних предприятий на 2,5%</w:t>
      </w:r>
      <w:r w:rsidR="00B77D44" w:rsidRPr="004A1707">
        <w:t>.</w:t>
      </w:r>
    </w:p>
    <w:p w:rsidR="006A67F9" w:rsidRPr="004A1707" w:rsidRDefault="006A67F9" w:rsidP="006A67F9">
      <w:pPr>
        <w:ind w:firstLine="567"/>
        <w:jc w:val="both"/>
        <w:rPr>
          <w:b/>
        </w:rPr>
      </w:pPr>
      <w:r w:rsidRPr="004A1707">
        <w:t xml:space="preserve">Произошло снижение оборота в сферах деятельности крупных и средних предприятий автомобильного пассажирского транспорта </w:t>
      </w:r>
      <w:r w:rsidR="00A43619" w:rsidRPr="004A1707">
        <w:t>на 1,4%</w:t>
      </w:r>
      <w:r w:rsidRPr="004A1707">
        <w:t xml:space="preserve"> и грузового транспорта </w:t>
      </w:r>
      <w:r w:rsidR="00A43619" w:rsidRPr="004A1707">
        <w:t>на 6,5% по сравнению с 2008 годом</w:t>
      </w:r>
      <w:r w:rsidRPr="004A1707">
        <w:t>.</w:t>
      </w:r>
    </w:p>
    <w:p w:rsidR="000D3D85" w:rsidRPr="004A1707" w:rsidRDefault="006A67F9" w:rsidP="006A67F9">
      <w:pPr>
        <w:ind w:firstLine="567"/>
        <w:jc w:val="both"/>
      </w:pPr>
      <w:r w:rsidRPr="004A1707">
        <w:t xml:space="preserve">Перевозчиками на территории Артемовского городского округа за 2009 год перевезено 9535,7 тыс. пассажиров, что на 27,5% меньше чем в предыдущем году (в 2008 году 13157тыс. пассажиров). </w:t>
      </w:r>
    </w:p>
    <w:p w:rsidR="006A67F9" w:rsidRPr="004A1707" w:rsidRDefault="006A67F9" w:rsidP="006A67F9">
      <w:pPr>
        <w:ind w:firstLine="567"/>
        <w:jc w:val="both"/>
      </w:pPr>
      <w:r w:rsidRPr="004A1707">
        <w:t>По итогам 2009 года общий объем услуг связи на территории АГО составил 99,9% к итогам 2008 года.</w:t>
      </w:r>
    </w:p>
    <w:p w:rsidR="006A67F9" w:rsidRPr="004A1707" w:rsidRDefault="006A67F9" w:rsidP="006A67F9">
      <w:pPr>
        <w:ind w:firstLine="567"/>
        <w:jc w:val="both"/>
      </w:pPr>
      <w:r w:rsidRPr="004A1707">
        <w:t>Телефонизацией жилых домов на территории Артемовского городского округа занимаются два специализированных предприятия: ООО «Новая связь» и Артемовский городской узел электрической связи Приморского филиала ОАО «Дальсвязь».</w:t>
      </w:r>
    </w:p>
    <w:p w:rsidR="006A67F9" w:rsidRPr="004A1707" w:rsidRDefault="006A67F9" w:rsidP="006A67F9">
      <w:pPr>
        <w:ind w:firstLine="567"/>
        <w:jc w:val="both"/>
      </w:pPr>
      <w:r w:rsidRPr="004A1707">
        <w:t xml:space="preserve">За 2009 год на территории АГО установлено всего – 548 телефонных номеров, в том числе в частном секторе – 14 телефонных номера. Несмотря на то, что по сравнению с предыдущим годом установлено на 193 телефонных номера меньше, на территории округа продолжается телефонизация жилых домов и есть возможности для подключения новых телефонных номеров. </w:t>
      </w:r>
    </w:p>
    <w:p w:rsidR="00286011" w:rsidRPr="004A1707" w:rsidRDefault="00286011" w:rsidP="00A52DEC">
      <w:pPr>
        <w:spacing w:line="360" w:lineRule="auto"/>
        <w:ind w:firstLine="709"/>
        <w:jc w:val="center"/>
        <w:rPr>
          <w:b/>
        </w:rPr>
      </w:pPr>
    </w:p>
    <w:p w:rsidR="00866C40" w:rsidRPr="004A1707" w:rsidRDefault="00866C40" w:rsidP="00866C40">
      <w:pPr>
        <w:widowControl w:val="0"/>
        <w:ind w:firstLine="567"/>
        <w:jc w:val="center"/>
        <w:rPr>
          <w:b/>
        </w:rPr>
      </w:pPr>
      <w:r w:rsidRPr="004A1707">
        <w:rPr>
          <w:b/>
        </w:rPr>
        <w:t>Социальная сфера</w:t>
      </w:r>
    </w:p>
    <w:p w:rsidR="00866C40" w:rsidRPr="004A1707" w:rsidRDefault="00866C40" w:rsidP="00866C40">
      <w:pPr>
        <w:autoSpaceDE w:val="0"/>
        <w:autoSpaceDN w:val="0"/>
        <w:adjustRightInd w:val="0"/>
        <w:rPr>
          <w:rFonts w:eastAsia="Calibri"/>
          <w:b/>
          <w:i/>
        </w:rPr>
      </w:pPr>
    </w:p>
    <w:p w:rsidR="00866C40" w:rsidRPr="004A1707" w:rsidRDefault="00866C40" w:rsidP="00866C40">
      <w:pPr>
        <w:autoSpaceDE w:val="0"/>
        <w:autoSpaceDN w:val="0"/>
        <w:adjustRightInd w:val="0"/>
        <w:rPr>
          <w:rFonts w:eastAsia="Calibri"/>
          <w:b/>
          <w:i/>
          <w:u w:val="single"/>
        </w:rPr>
      </w:pPr>
      <w:r w:rsidRPr="004A1707">
        <w:rPr>
          <w:rFonts w:eastAsia="Calibri"/>
          <w:b/>
          <w:i/>
          <w:u w:val="single"/>
        </w:rPr>
        <w:t>Уровень жизни населения</w:t>
      </w:r>
    </w:p>
    <w:p w:rsidR="00866C40" w:rsidRPr="004A1707" w:rsidRDefault="00866C40" w:rsidP="00866C40">
      <w:pPr>
        <w:pStyle w:val="a6"/>
      </w:pPr>
      <w:r w:rsidRPr="004A1707">
        <w:t>Доходы и потребление являются главными показателями благосостояния населения.</w:t>
      </w:r>
    </w:p>
    <w:p w:rsidR="00EC7DE0" w:rsidRPr="004A1707" w:rsidRDefault="00EC7DE0" w:rsidP="00EC7DE0">
      <w:pPr>
        <w:pStyle w:val="a6"/>
        <w:jc w:val="center"/>
      </w:pPr>
      <w:r w:rsidRPr="004A1707">
        <w:rPr>
          <w:noProof/>
        </w:rPr>
        <w:drawing>
          <wp:inline distT="0" distB="0" distL="0" distR="0">
            <wp:extent cx="5495925" cy="3200400"/>
            <wp:effectExtent l="19050" t="0" r="0" b="0"/>
            <wp:docPr id="11"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C7DE0" w:rsidRPr="004A1707" w:rsidRDefault="00EC7DE0" w:rsidP="00866C40">
      <w:pPr>
        <w:pStyle w:val="a6"/>
      </w:pPr>
    </w:p>
    <w:p w:rsidR="00866C40" w:rsidRPr="004A1707" w:rsidRDefault="00866C40" w:rsidP="00866C40">
      <w:pPr>
        <w:pStyle w:val="a6"/>
      </w:pPr>
      <w:r w:rsidRPr="004A1707">
        <w:lastRenderedPageBreak/>
        <w:t>Реальные денежные доходы превысили уровень 9 месяцев 2008 года на 5,1% при росте цен потребительского рынка за этот период на 13%.</w:t>
      </w:r>
    </w:p>
    <w:p w:rsidR="00866C40" w:rsidRPr="004A1707" w:rsidRDefault="00866C40" w:rsidP="00866C40">
      <w:pPr>
        <w:autoSpaceDE w:val="0"/>
        <w:autoSpaceDN w:val="0"/>
        <w:adjustRightInd w:val="0"/>
        <w:ind w:firstLine="567"/>
        <w:jc w:val="both"/>
        <w:rPr>
          <w:rFonts w:eastAsia="Calibri"/>
        </w:rPr>
      </w:pPr>
      <w:r w:rsidRPr="004A1707">
        <w:rPr>
          <w:rFonts w:eastAsia="Calibri"/>
        </w:rPr>
        <w:t>Среднедушевые денежные доходы населения округа по итогам 9 месяцев 2009 года составили 9371 рубль в месяц, по сравнению с аналогичным периодом 2008 года выросли на 1501 рубль или 19%, при этом реально располагаемые денежные доходы увеличились на 6%.</w:t>
      </w:r>
    </w:p>
    <w:p w:rsidR="00866C40" w:rsidRPr="004A1707" w:rsidRDefault="00866C40" w:rsidP="00866C40">
      <w:pPr>
        <w:autoSpaceDE w:val="0"/>
        <w:autoSpaceDN w:val="0"/>
        <w:adjustRightInd w:val="0"/>
        <w:ind w:firstLine="567"/>
        <w:jc w:val="both"/>
        <w:rPr>
          <w:rFonts w:eastAsia="Calibri"/>
        </w:rPr>
      </w:pPr>
      <w:r w:rsidRPr="004A1707">
        <w:rPr>
          <w:rFonts w:eastAsia="Calibri"/>
        </w:rPr>
        <w:t>В сфере оплаты труда сохранялась динамика роста номинальной заработной платы по сравнению с прошлым годом. По предварительным оценкам Приморскстата, в 2009 году номинальная начисленная среднемесячная заработная плата увеличилась на 11% к соответствующему уровню 2008 года и составила 19105 рублей.</w:t>
      </w:r>
    </w:p>
    <w:p w:rsidR="00866C40" w:rsidRPr="004A1707" w:rsidRDefault="00866C40" w:rsidP="00866C40">
      <w:pPr>
        <w:autoSpaceDE w:val="0"/>
        <w:autoSpaceDN w:val="0"/>
        <w:adjustRightInd w:val="0"/>
        <w:ind w:firstLine="567"/>
        <w:jc w:val="both"/>
        <w:rPr>
          <w:rFonts w:eastAsia="Calibri"/>
        </w:rPr>
      </w:pPr>
      <w:r w:rsidRPr="004A1707">
        <w:rPr>
          <w:rFonts w:eastAsia="Calibri"/>
        </w:rPr>
        <w:t>Средний уровень оплаты труда в округе в 2009 году составил 2,78 величины прожиточного минимума трудоспособного населения в Приморском крае.</w:t>
      </w:r>
    </w:p>
    <w:p w:rsidR="00866C40" w:rsidRPr="004A1707" w:rsidRDefault="00866C40" w:rsidP="00866C40">
      <w:pPr>
        <w:autoSpaceDE w:val="0"/>
        <w:autoSpaceDN w:val="0"/>
        <w:adjustRightInd w:val="0"/>
        <w:ind w:firstLine="567"/>
        <w:jc w:val="both"/>
        <w:rPr>
          <w:rFonts w:eastAsia="Calibri"/>
        </w:rPr>
      </w:pPr>
      <w:r w:rsidRPr="004A1707">
        <w:t>По данным территориального органа Федеральной службы государственной статистики по Приморскому краю в округе отсутствует задолженность по выплате средств на заработную плату</w:t>
      </w:r>
      <w:r w:rsidRPr="004A1707">
        <w:rPr>
          <w:rFonts w:eastAsia="Calibri"/>
        </w:rPr>
        <w:t>.</w:t>
      </w:r>
    </w:p>
    <w:p w:rsidR="00866C40" w:rsidRPr="004A1707" w:rsidRDefault="00866C40" w:rsidP="00866C40">
      <w:pPr>
        <w:autoSpaceDE w:val="0"/>
        <w:autoSpaceDN w:val="0"/>
        <w:adjustRightInd w:val="0"/>
        <w:ind w:firstLine="567"/>
        <w:jc w:val="both"/>
        <w:rPr>
          <w:rFonts w:eastAsia="Calibri"/>
        </w:rPr>
      </w:pPr>
      <w:r w:rsidRPr="004A1707">
        <w:rPr>
          <w:rFonts w:eastAsia="Calibri"/>
        </w:rPr>
        <w:t>По данным ГУ - Управление Пенсионного фонда РФ по Артемовскому и Шкотовскому  району Приморского края на 31.12.2009г. численность пенсионеров, состоящих на учете в управлении, составила 34159 человек, из них работающих – 9807 чел.</w:t>
      </w:r>
    </w:p>
    <w:p w:rsidR="00866C40" w:rsidRPr="004A1707" w:rsidRDefault="00866C40" w:rsidP="00866C40">
      <w:pPr>
        <w:autoSpaceDE w:val="0"/>
        <w:autoSpaceDN w:val="0"/>
        <w:adjustRightInd w:val="0"/>
        <w:ind w:firstLine="567"/>
        <w:jc w:val="both"/>
        <w:rPr>
          <w:rFonts w:eastAsia="Calibri"/>
        </w:rPr>
      </w:pPr>
      <w:r w:rsidRPr="004A1707">
        <w:rPr>
          <w:rFonts w:eastAsia="Calibri"/>
        </w:rPr>
        <w:t>Доля пенсионеров в общей численности населения Артемовского городского округа составляет 30,6%.</w:t>
      </w:r>
    </w:p>
    <w:p w:rsidR="00866C40" w:rsidRPr="004A1707" w:rsidRDefault="00866C40" w:rsidP="00866C40">
      <w:pPr>
        <w:autoSpaceDE w:val="0"/>
        <w:autoSpaceDN w:val="0"/>
        <w:adjustRightInd w:val="0"/>
        <w:ind w:firstLine="567"/>
        <w:jc w:val="both"/>
        <w:rPr>
          <w:rFonts w:eastAsia="Calibri"/>
        </w:rPr>
      </w:pPr>
      <w:r w:rsidRPr="004A1707">
        <w:rPr>
          <w:rFonts w:eastAsia="Calibri"/>
        </w:rPr>
        <w:t>Средний размер назначенной пенсии на конец 2009 года, по оценке, составил 6126,62 рублей и увеличился по сравнению с показателем 9 месяцев 2009 года на 13,5%, а к итогам 2008 года на 35%.</w:t>
      </w:r>
    </w:p>
    <w:p w:rsidR="00866C40" w:rsidRPr="004A1707" w:rsidRDefault="00866C40" w:rsidP="00866C40">
      <w:pPr>
        <w:autoSpaceDE w:val="0"/>
        <w:autoSpaceDN w:val="0"/>
        <w:adjustRightInd w:val="0"/>
        <w:ind w:firstLine="567"/>
        <w:jc w:val="both"/>
        <w:rPr>
          <w:rFonts w:eastAsia="Calibri"/>
        </w:rPr>
      </w:pPr>
      <w:r w:rsidRPr="004A1707">
        <w:rPr>
          <w:rFonts w:eastAsia="Calibri"/>
        </w:rPr>
        <w:t>Темпы увеличения размера пенсии в г.Артеме в текущем году опережают темпы роста заработной платы. Средний размер пенсий обеспечивает 121,2% среднекраевого уровня прожиточного минимума пенсионера (5054 руб.).</w:t>
      </w:r>
    </w:p>
    <w:p w:rsidR="00866C40" w:rsidRPr="004A1707" w:rsidRDefault="00866C40" w:rsidP="00866C40">
      <w:pPr>
        <w:autoSpaceDE w:val="0"/>
        <w:autoSpaceDN w:val="0"/>
        <w:adjustRightInd w:val="0"/>
        <w:ind w:firstLine="567"/>
        <w:jc w:val="both"/>
        <w:rPr>
          <w:rFonts w:eastAsia="Calibri"/>
        </w:rPr>
      </w:pPr>
      <w:r w:rsidRPr="004A1707">
        <w:rPr>
          <w:rFonts w:eastAsia="Calibri"/>
        </w:rPr>
        <w:t>Потребительские расходы в среднем на душу населения Артемовского городского округам за январь-сентябрь 2009 года составили в среднем за месяц</w:t>
      </w:r>
      <w:r w:rsidRPr="004A1707">
        <w:rPr>
          <w:b/>
        </w:rPr>
        <w:t xml:space="preserve"> </w:t>
      </w:r>
      <w:r w:rsidRPr="004A1707">
        <w:rPr>
          <w:rFonts w:eastAsia="Calibri"/>
        </w:rPr>
        <w:t xml:space="preserve">6691 рубль </w:t>
      </w:r>
      <w:r w:rsidRPr="004A1707">
        <w:t>или 71,4 % доходов</w:t>
      </w:r>
      <w:r w:rsidRPr="004A1707">
        <w:rPr>
          <w:rFonts w:eastAsia="Calibri"/>
        </w:rPr>
        <w:t>. Объем расходов увеличились на 21,1% по сравнению с январем-сентябрем 2008 года (в реальном выражении – на 7,2%).</w:t>
      </w:r>
    </w:p>
    <w:p w:rsidR="00866C40" w:rsidRPr="004A1707" w:rsidRDefault="00866C40" w:rsidP="00866C40">
      <w:pPr>
        <w:pStyle w:val="a6"/>
      </w:pPr>
      <w:r w:rsidRPr="004A1707">
        <w:t>В структуре использования доходов преобладают расходы на покупку товаров (47,1%) и оплату услуг (24,3%). За 9 месяцев 2009 года 7% всех доходов население потратило на уплату обязательных платежей и разнообразных взносов.</w:t>
      </w:r>
    </w:p>
    <w:p w:rsidR="00866C40" w:rsidRPr="004A1707" w:rsidRDefault="00866C40" w:rsidP="00866C40">
      <w:pPr>
        <w:pStyle w:val="a6"/>
      </w:pPr>
      <w:r w:rsidRPr="004A1707">
        <w:t>Доля расходов на покупку товаров и оплату услуг в январе-сентябре 2009 года выросла по сравнению с январем-сентябрем 2008 года на 1,2 процентных пункта, средства на счетах физических лиц – на 6,7% при сокращении доли средств на приобретение иностранной валюты – на 4,8%, на покупку недвижимости – на 3,8%.</w:t>
      </w:r>
    </w:p>
    <w:p w:rsidR="00866C40" w:rsidRPr="004A1707" w:rsidRDefault="00866C40" w:rsidP="00866C40">
      <w:pPr>
        <w:pStyle w:val="a6"/>
      </w:pPr>
      <w:r w:rsidRPr="004A1707">
        <w:t>Для основной массы населения основными источниками доходов является заработная плата или пенсия.</w:t>
      </w:r>
    </w:p>
    <w:p w:rsidR="00866C40" w:rsidRPr="004A1707" w:rsidRDefault="00866C40" w:rsidP="00866C40">
      <w:pPr>
        <w:autoSpaceDE w:val="0"/>
        <w:autoSpaceDN w:val="0"/>
        <w:adjustRightInd w:val="0"/>
        <w:ind w:firstLine="567"/>
        <w:jc w:val="both"/>
        <w:rPr>
          <w:rFonts w:eastAsia="Calibri"/>
        </w:rPr>
      </w:pPr>
      <w:r w:rsidRPr="004A1707">
        <w:rPr>
          <w:rFonts w:eastAsia="Calibri"/>
        </w:rPr>
        <w:t>По Приморскому краю величина прожиточного минимума в расчете на душу населения  в 4 квартале 2009 года составила 6401 рублей, выросла по сравнению с 4 кварталом 2008 года (6071 руб.) на 5,1%. Денежные доходы на душу населения в Артемовском городском округе (9371 руб. в месяц) обеспечивали 1,46 величины прожиточного минимума населения.</w:t>
      </w:r>
    </w:p>
    <w:p w:rsidR="00866C40" w:rsidRPr="004A1707" w:rsidRDefault="00866C40" w:rsidP="00866C40">
      <w:pPr>
        <w:ind w:firstLine="540"/>
        <w:rPr>
          <w:b/>
          <w:i/>
          <w:u w:val="single"/>
        </w:rPr>
      </w:pPr>
    </w:p>
    <w:p w:rsidR="00866C40" w:rsidRPr="004A1707" w:rsidRDefault="00866C40" w:rsidP="00866C40">
      <w:pPr>
        <w:rPr>
          <w:b/>
          <w:i/>
          <w:u w:val="single"/>
        </w:rPr>
      </w:pPr>
      <w:r w:rsidRPr="004A1707">
        <w:rPr>
          <w:b/>
          <w:i/>
          <w:u w:val="single"/>
        </w:rPr>
        <w:t>Демография</w:t>
      </w:r>
    </w:p>
    <w:p w:rsidR="00866C40" w:rsidRPr="004A1707" w:rsidRDefault="00866C40" w:rsidP="00866C40">
      <w:pPr>
        <w:autoSpaceDE w:val="0"/>
        <w:autoSpaceDN w:val="0"/>
        <w:adjustRightInd w:val="0"/>
        <w:ind w:firstLine="567"/>
        <w:jc w:val="both"/>
        <w:rPr>
          <w:rFonts w:eastAsia="Calibri"/>
        </w:rPr>
      </w:pPr>
      <w:r w:rsidRPr="004A1707">
        <w:rPr>
          <w:rFonts w:eastAsia="Calibri"/>
        </w:rPr>
        <w:t>Численность постоянного населения Артема по оценке на 01.01.09г. составляла 111,8 тыс. человек. Естественная убыль населения за 2009 год сократилась к соответствующему уровню 2008 года в 2,4 раза и составила 207 человек.</w:t>
      </w:r>
    </w:p>
    <w:p w:rsidR="00866C40" w:rsidRPr="004A1707" w:rsidRDefault="00866C40" w:rsidP="00866C40">
      <w:pPr>
        <w:autoSpaceDE w:val="0"/>
        <w:autoSpaceDN w:val="0"/>
        <w:adjustRightInd w:val="0"/>
        <w:ind w:firstLine="567"/>
        <w:jc w:val="both"/>
        <w:rPr>
          <w:rFonts w:eastAsia="Calibri"/>
        </w:rPr>
      </w:pPr>
      <w:r w:rsidRPr="004A1707">
        <w:t>Естественная убыль населения сохранялась весь 2009 год, в то же время число умерших снизилось по сравнению с прошлым годом на 195 человек или на 11,7%.</w:t>
      </w:r>
    </w:p>
    <w:p w:rsidR="00866C40" w:rsidRPr="004A1707" w:rsidRDefault="00866C40" w:rsidP="00866C40">
      <w:pPr>
        <w:autoSpaceDE w:val="0"/>
        <w:autoSpaceDN w:val="0"/>
        <w:adjustRightInd w:val="0"/>
        <w:ind w:firstLine="567"/>
        <w:jc w:val="both"/>
        <w:rPr>
          <w:rFonts w:eastAsia="Calibri"/>
        </w:rPr>
      </w:pPr>
      <w:r w:rsidRPr="004A1707">
        <w:rPr>
          <w:rFonts w:eastAsia="Calibri"/>
        </w:rPr>
        <w:t xml:space="preserve">Уровень смертности на каждую тысячу жителей за январь – ноябрь снизился по сравнению с соответствующим периодом 2008 года и по оценке составил 13,1 (показатель рождаемости по оценке составляет 11,3 родившихся на 1000 человек населения). В целом по округу число умерших в 1,16 раз превышает число родившихся. </w:t>
      </w:r>
    </w:p>
    <w:p w:rsidR="00866C40" w:rsidRPr="004A1707" w:rsidRDefault="00866C40" w:rsidP="00866C40">
      <w:pPr>
        <w:autoSpaceDE w:val="0"/>
        <w:autoSpaceDN w:val="0"/>
        <w:adjustRightInd w:val="0"/>
        <w:ind w:firstLine="567"/>
        <w:jc w:val="both"/>
        <w:rPr>
          <w:rFonts w:eastAsia="Calibri"/>
        </w:rPr>
      </w:pPr>
      <w:r w:rsidRPr="004A1707">
        <w:lastRenderedPageBreak/>
        <w:t>По данным отдела статистики в 2009 году в округе родилось 1394 детей, что составляет 108,3% уровня соответствующего периода прошлого года.</w:t>
      </w:r>
    </w:p>
    <w:p w:rsidR="00866C40" w:rsidRPr="004A1707" w:rsidRDefault="00866C40" w:rsidP="004A1707">
      <w:pPr>
        <w:autoSpaceDE w:val="0"/>
        <w:autoSpaceDN w:val="0"/>
        <w:adjustRightInd w:val="0"/>
        <w:ind w:firstLine="567"/>
        <w:jc w:val="both"/>
      </w:pPr>
      <w:r w:rsidRPr="004A1707">
        <w:rPr>
          <w:rFonts w:eastAsia="Calibri"/>
        </w:rPr>
        <w:t xml:space="preserve">По итогам 2009 года установлено, что </w:t>
      </w:r>
      <w:r w:rsidRPr="004A1707">
        <w:t xml:space="preserve">рождаемость за анализируемый период повысилась с 10,6 до 12,7 младенцев, родившихся живыми на 1000 человек населения АГО. </w:t>
      </w:r>
    </w:p>
    <w:p w:rsidR="004A1707" w:rsidRPr="004A1707" w:rsidRDefault="004A1707" w:rsidP="004A1707">
      <w:pPr>
        <w:autoSpaceDE w:val="0"/>
        <w:autoSpaceDN w:val="0"/>
        <w:adjustRightInd w:val="0"/>
        <w:ind w:firstLine="567"/>
        <w:jc w:val="both"/>
        <w:rPr>
          <w:rFonts w:eastAsia="Calibri"/>
        </w:rPr>
      </w:pPr>
    </w:p>
    <w:p w:rsidR="00866C40" w:rsidRPr="004A1707" w:rsidRDefault="00866C40" w:rsidP="00866C40">
      <w:pPr>
        <w:rPr>
          <w:b/>
          <w:i/>
          <w:u w:val="single"/>
        </w:rPr>
      </w:pPr>
      <w:r w:rsidRPr="004A1707">
        <w:rPr>
          <w:rFonts w:eastAsia="Calibri"/>
          <w:b/>
          <w:i/>
          <w:u w:val="single"/>
        </w:rPr>
        <w:t>Рынок труда</w:t>
      </w:r>
    </w:p>
    <w:p w:rsidR="00866C40" w:rsidRPr="004A1707" w:rsidRDefault="00866C40" w:rsidP="00866C40">
      <w:pPr>
        <w:ind w:firstLine="567"/>
        <w:jc w:val="both"/>
      </w:pPr>
      <w:r w:rsidRPr="004A1707">
        <w:t>В январе-ноябре 2009 года в экономике города было занято 43,4 тысячи человек. Численность занятых в экономике округа в ноябре 2009 года составила 43,5 тыс. чел., что на уровне показателей прошлого года, в том числе среднесписочная численность работающих в организациях – 24,16 тыс. чел. (100,1 % к уровню аналогичного периода прошлого года), из них в крупных и средних организациях округа – 18538 человек (102,9% уровня прошлого года).</w:t>
      </w:r>
    </w:p>
    <w:p w:rsidR="004A1707" w:rsidRPr="004A1707" w:rsidRDefault="00866C40" w:rsidP="00866C40">
      <w:pPr>
        <w:autoSpaceDE w:val="0"/>
        <w:autoSpaceDN w:val="0"/>
        <w:adjustRightInd w:val="0"/>
        <w:ind w:firstLine="567"/>
        <w:jc w:val="both"/>
        <w:rPr>
          <w:rFonts w:eastAsia="Calibri"/>
        </w:rPr>
      </w:pPr>
      <w:r w:rsidRPr="004A1707">
        <w:t xml:space="preserve">По состоянию на 01.01.2010 года зарегистрировано 747 безработных граждан (на 8,1% больше чем в 2008 году), из них назначено пособие по безработице 657 (на 11,4% больше чем в 2008 году). </w:t>
      </w:r>
    </w:p>
    <w:p w:rsidR="00866C40" w:rsidRPr="004A1707" w:rsidRDefault="00866C40" w:rsidP="00866C40">
      <w:pPr>
        <w:autoSpaceDE w:val="0"/>
        <w:autoSpaceDN w:val="0"/>
        <w:adjustRightInd w:val="0"/>
        <w:ind w:firstLine="567"/>
        <w:jc w:val="both"/>
      </w:pPr>
      <w:r w:rsidRPr="004A1707">
        <w:rPr>
          <w:rFonts w:eastAsia="Calibri"/>
        </w:rPr>
        <w:t>Уровень регистрируемой безработицы в целом по округу на 1 января текущего года составил 1,7%, что на 0,1 процентных пункта больше, чем на ту же дату 2009 года.</w:t>
      </w:r>
      <w:r w:rsidRPr="004A1707">
        <w:t xml:space="preserve"> Уровень ниже регистрируемой безработицы в Приморском крае в 2 раза (</w:t>
      </w:r>
      <w:r w:rsidRPr="004A1707">
        <w:rPr>
          <w:bCs/>
        </w:rPr>
        <w:t>3,4%).</w:t>
      </w:r>
      <w:r w:rsidRPr="004A1707">
        <w:t xml:space="preserve"> </w:t>
      </w:r>
    </w:p>
    <w:p w:rsidR="004A1707" w:rsidRPr="004A1707" w:rsidRDefault="00866C40" w:rsidP="00866C40">
      <w:pPr>
        <w:autoSpaceDE w:val="0"/>
        <w:autoSpaceDN w:val="0"/>
        <w:adjustRightInd w:val="0"/>
        <w:ind w:firstLine="567"/>
        <w:jc w:val="both"/>
      </w:pPr>
      <w:r w:rsidRPr="004A1707">
        <w:t xml:space="preserve">Уровень заработной платы в январе-ноябре 2009 года увеличился на 13,5 % по сравнению с январем-ноябрем 2008 года. Среднестатистическая заработная плата в целом по округу составила 17296,2 рублей. </w:t>
      </w:r>
    </w:p>
    <w:p w:rsidR="006A67F9" w:rsidRPr="004A1707" w:rsidRDefault="006A67F9" w:rsidP="00A52DEC">
      <w:pPr>
        <w:spacing w:line="360" w:lineRule="auto"/>
        <w:ind w:firstLine="709"/>
        <w:jc w:val="center"/>
        <w:rPr>
          <w:b/>
        </w:rPr>
      </w:pPr>
    </w:p>
    <w:p w:rsidR="004A1707" w:rsidRPr="004A1707" w:rsidRDefault="004A1707" w:rsidP="004A1707">
      <w:pPr>
        <w:pStyle w:val="a6"/>
        <w:ind w:firstLine="708"/>
        <w:jc w:val="center"/>
        <w:rPr>
          <w:b/>
        </w:rPr>
      </w:pPr>
      <w:r w:rsidRPr="004A1707">
        <w:rPr>
          <w:b/>
        </w:rPr>
        <w:t>Финансовые результаты деятельности крупных и средних организаций</w:t>
      </w:r>
    </w:p>
    <w:p w:rsidR="004A1707" w:rsidRPr="004A1707" w:rsidRDefault="004A1707" w:rsidP="004A1707">
      <w:pPr>
        <w:pStyle w:val="a6"/>
        <w:ind w:firstLine="708"/>
      </w:pPr>
    </w:p>
    <w:p w:rsidR="004A1707" w:rsidRPr="004A1707" w:rsidRDefault="004A1707" w:rsidP="004A1707">
      <w:pPr>
        <w:pStyle w:val="a6"/>
      </w:pPr>
      <w:r w:rsidRPr="004A1707">
        <w:t xml:space="preserve"> </w:t>
      </w:r>
      <w:r w:rsidRPr="004A1707">
        <w:tab/>
        <w:t>Сальдированный финансовый результат (прибыль минус убыток), полученный крупными и средними организациями Артема (без сельскохозяйственных организаций), по оценке, в январе-ноябре 2009 года составил 429,4 миллиона рублей прибыли, против 170,9 миллиона рублей убытка, полученного в январе-ноябре 2008 года.</w:t>
      </w:r>
    </w:p>
    <w:p w:rsidR="004A1707" w:rsidRPr="004A1707" w:rsidRDefault="004A1707" w:rsidP="004A1707">
      <w:pPr>
        <w:pStyle w:val="a6"/>
      </w:pPr>
      <w:r w:rsidRPr="004A1707">
        <w:t>Положительный финансовый результат (за январь-ноябрь) сформировался у предприятий по видам деятельности:</w:t>
      </w:r>
    </w:p>
    <w:p w:rsidR="004A1707" w:rsidRPr="004A1707" w:rsidRDefault="004A1707" w:rsidP="004A1707">
      <w:pPr>
        <w:pStyle w:val="a6"/>
      </w:pPr>
      <w:r w:rsidRPr="004A1707">
        <w:t>транспорт – 227,2 млн. руб.,</w:t>
      </w:r>
    </w:p>
    <w:p w:rsidR="004A1707" w:rsidRPr="004A1707" w:rsidRDefault="004A1707" w:rsidP="004A1707">
      <w:pPr>
        <w:pStyle w:val="a6"/>
      </w:pPr>
      <w:r w:rsidRPr="004A1707">
        <w:t>добыча полезных ископаемых – 152,1 млн. руб.;</w:t>
      </w:r>
    </w:p>
    <w:p w:rsidR="004A1707" w:rsidRPr="004A1707" w:rsidRDefault="004A1707" w:rsidP="004A1707">
      <w:pPr>
        <w:pStyle w:val="a6"/>
      </w:pPr>
      <w:r w:rsidRPr="004A1707">
        <w:t>обрабатывающие производства – 39,8 млн. руб.;</w:t>
      </w:r>
    </w:p>
    <w:p w:rsidR="004A1707" w:rsidRPr="004A1707" w:rsidRDefault="004A1707" w:rsidP="004A1707">
      <w:pPr>
        <w:pStyle w:val="a6"/>
      </w:pPr>
      <w:r w:rsidRPr="004A1707">
        <w:t>торговля – 0,1 млн. руб.;</w:t>
      </w:r>
    </w:p>
    <w:p w:rsidR="004A1707" w:rsidRPr="004A1707" w:rsidRDefault="004A1707" w:rsidP="004A1707">
      <w:pPr>
        <w:pStyle w:val="a6"/>
      </w:pPr>
      <w:r w:rsidRPr="004A1707">
        <w:t>операции с недвижимым имуществом, предоставление услуг – 17,3 млн. руб.</w:t>
      </w:r>
    </w:p>
    <w:p w:rsidR="004A1707" w:rsidRPr="004A1707" w:rsidRDefault="004A1707" w:rsidP="004A1707">
      <w:pPr>
        <w:pStyle w:val="a6"/>
      </w:pPr>
      <w:r w:rsidRPr="004A1707">
        <w:t xml:space="preserve">Кредиторская задолженность составила 49,3% от общей суммы задолженности, что 7,5% меньше чем в 2008 году. </w:t>
      </w:r>
    </w:p>
    <w:p w:rsidR="004A1707" w:rsidRPr="004A1707" w:rsidRDefault="004A1707" w:rsidP="004A1707">
      <w:pPr>
        <w:pStyle w:val="a6"/>
      </w:pPr>
      <w:r w:rsidRPr="004A1707">
        <w:t>Дебиторская задолженность по состоянию на 01.12.2009 составила 3444,9 млн. руб.</w:t>
      </w:r>
      <w:r w:rsidRPr="004A1707">
        <w:rPr>
          <w:b/>
        </w:rPr>
        <w:t xml:space="preserve"> </w:t>
      </w:r>
      <w:r w:rsidRPr="004A1707">
        <w:t xml:space="preserve">и увеличилась за месяц на 1,2%, а по сравнению с прошлым годом на 19,8%. </w:t>
      </w:r>
    </w:p>
    <w:p w:rsidR="004A1707" w:rsidRPr="004A1707" w:rsidRDefault="004A1707" w:rsidP="004A1707">
      <w:pPr>
        <w:pStyle w:val="a9"/>
        <w:spacing w:after="0"/>
        <w:ind w:firstLine="567"/>
        <w:jc w:val="both"/>
        <w:rPr>
          <w:szCs w:val="20"/>
        </w:rPr>
      </w:pPr>
      <w:r w:rsidRPr="004A1707">
        <w:rPr>
          <w:szCs w:val="20"/>
        </w:rPr>
        <w:tab/>
        <w:t>Дебиторская задолженность превышает кредиторскую задолженность на 386 млн. рублей (12%).</w:t>
      </w:r>
    </w:p>
    <w:p w:rsidR="00123737" w:rsidRPr="004A1707" w:rsidRDefault="00123737" w:rsidP="00A52DEC">
      <w:pPr>
        <w:spacing w:line="360" w:lineRule="auto"/>
        <w:ind w:firstLine="709"/>
        <w:jc w:val="both"/>
      </w:pPr>
    </w:p>
    <w:sectPr w:rsidR="00123737" w:rsidRPr="004A1707" w:rsidSect="004F3B9D">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C66" w:rsidRDefault="00EF6C66" w:rsidP="00487C8C">
      <w:r>
        <w:separator/>
      </w:r>
    </w:p>
  </w:endnote>
  <w:endnote w:type="continuationSeparator" w:id="0">
    <w:p w:rsidR="00EF6C66" w:rsidRDefault="00EF6C66" w:rsidP="0048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C66" w:rsidRDefault="00EF6C66" w:rsidP="00487C8C">
      <w:r>
        <w:separator/>
      </w:r>
    </w:p>
  </w:footnote>
  <w:footnote w:type="continuationSeparator" w:id="0">
    <w:p w:rsidR="00EF6C66" w:rsidRDefault="00EF6C66" w:rsidP="00487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45784"/>
    <w:multiLevelType w:val="hybridMultilevel"/>
    <w:tmpl w:val="4ED0EA14"/>
    <w:lvl w:ilvl="0" w:tplc="5B0C76D8">
      <w:start w:val="1"/>
      <w:numFmt w:val="bullet"/>
      <w:lvlText w:val=""/>
      <w:lvlJc w:val="left"/>
      <w:pPr>
        <w:ind w:left="1017" w:hanging="360"/>
      </w:pPr>
      <w:rPr>
        <w:rFonts w:ascii="Symbol" w:hAnsi="Symbol" w:hint="default"/>
      </w:rPr>
    </w:lvl>
    <w:lvl w:ilvl="1" w:tplc="04190003" w:tentative="1">
      <w:start w:val="1"/>
      <w:numFmt w:val="bullet"/>
      <w:lvlText w:val="o"/>
      <w:lvlJc w:val="left"/>
      <w:pPr>
        <w:ind w:left="1737" w:hanging="360"/>
      </w:pPr>
      <w:rPr>
        <w:rFonts w:ascii="Courier New" w:hAnsi="Courier New" w:cs="Courier New" w:hint="default"/>
      </w:rPr>
    </w:lvl>
    <w:lvl w:ilvl="2" w:tplc="04190005" w:tentative="1">
      <w:start w:val="1"/>
      <w:numFmt w:val="bullet"/>
      <w:lvlText w:val=""/>
      <w:lvlJc w:val="left"/>
      <w:pPr>
        <w:ind w:left="2457" w:hanging="360"/>
      </w:pPr>
      <w:rPr>
        <w:rFonts w:ascii="Wingdings" w:hAnsi="Wingdings" w:hint="default"/>
      </w:rPr>
    </w:lvl>
    <w:lvl w:ilvl="3" w:tplc="04190001" w:tentative="1">
      <w:start w:val="1"/>
      <w:numFmt w:val="bullet"/>
      <w:lvlText w:val=""/>
      <w:lvlJc w:val="left"/>
      <w:pPr>
        <w:ind w:left="3177" w:hanging="360"/>
      </w:pPr>
      <w:rPr>
        <w:rFonts w:ascii="Symbol" w:hAnsi="Symbol" w:hint="default"/>
      </w:rPr>
    </w:lvl>
    <w:lvl w:ilvl="4" w:tplc="04190003" w:tentative="1">
      <w:start w:val="1"/>
      <w:numFmt w:val="bullet"/>
      <w:lvlText w:val="o"/>
      <w:lvlJc w:val="left"/>
      <w:pPr>
        <w:ind w:left="3897" w:hanging="360"/>
      </w:pPr>
      <w:rPr>
        <w:rFonts w:ascii="Courier New" w:hAnsi="Courier New" w:cs="Courier New" w:hint="default"/>
      </w:rPr>
    </w:lvl>
    <w:lvl w:ilvl="5" w:tplc="04190005" w:tentative="1">
      <w:start w:val="1"/>
      <w:numFmt w:val="bullet"/>
      <w:lvlText w:val=""/>
      <w:lvlJc w:val="left"/>
      <w:pPr>
        <w:ind w:left="4617" w:hanging="360"/>
      </w:pPr>
      <w:rPr>
        <w:rFonts w:ascii="Wingdings" w:hAnsi="Wingdings" w:hint="default"/>
      </w:rPr>
    </w:lvl>
    <w:lvl w:ilvl="6" w:tplc="04190001" w:tentative="1">
      <w:start w:val="1"/>
      <w:numFmt w:val="bullet"/>
      <w:lvlText w:val=""/>
      <w:lvlJc w:val="left"/>
      <w:pPr>
        <w:ind w:left="5337" w:hanging="360"/>
      </w:pPr>
      <w:rPr>
        <w:rFonts w:ascii="Symbol" w:hAnsi="Symbol" w:hint="default"/>
      </w:rPr>
    </w:lvl>
    <w:lvl w:ilvl="7" w:tplc="04190003" w:tentative="1">
      <w:start w:val="1"/>
      <w:numFmt w:val="bullet"/>
      <w:lvlText w:val="o"/>
      <w:lvlJc w:val="left"/>
      <w:pPr>
        <w:ind w:left="6057" w:hanging="360"/>
      </w:pPr>
      <w:rPr>
        <w:rFonts w:ascii="Courier New" w:hAnsi="Courier New" w:cs="Courier New" w:hint="default"/>
      </w:rPr>
    </w:lvl>
    <w:lvl w:ilvl="8" w:tplc="04190005" w:tentative="1">
      <w:start w:val="1"/>
      <w:numFmt w:val="bullet"/>
      <w:lvlText w:val=""/>
      <w:lvlJc w:val="left"/>
      <w:pPr>
        <w:ind w:left="6777" w:hanging="360"/>
      </w:pPr>
      <w:rPr>
        <w:rFonts w:ascii="Wingdings" w:hAnsi="Wingdings" w:hint="default"/>
      </w:rPr>
    </w:lvl>
  </w:abstractNum>
  <w:abstractNum w:abstractNumId="1" w15:restartNumberingAfterBreak="0">
    <w:nsid w:val="2B865D89"/>
    <w:multiLevelType w:val="hybridMultilevel"/>
    <w:tmpl w:val="3A52B7EA"/>
    <w:lvl w:ilvl="0" w:tplc="5B0C76D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2D0021EF"/>
    <w:multiLevelType w:val="hybridMultilevel"/>
    <w:tmpl w:val="9A089D4E"/>
    <w:lvl w:ilvl="0" w:tplc="A28C4922">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62D01F11"/>
    <w:multiLevelType w:val="hybridMultilevel"/>
    <w:tmpl w:val="20EC5E60"/>
    <w:lvl w:ilvl="0" w:tplc="5B0C76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70F11CF8"/>
    <w:multiLevelType w:val="hybridMultilevel"/>
    <w:tmpl w:val="A92435F4"/>
    <w:lvl w:ilvl="0" w:tplc="A28C492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71F91DBC"/>
    <w:multiLevelType w:val="hybridMultilevel"/>
    <w:tmpl w:val="F5045556"/>
    <w:lvl w:ilvl="0" w:tplc="5B0C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16"/>
    <w:rsid w:val="00021575"/>
    <w:rsid w:val="00024426"/>
    <w:rsid w:val="0004273D"/>
    <w:rsid w:val="000D3D85"/>
    <w:rsid w:val="00123737"/>
    <w:rsid w:val="00126A5B"/>
    <w:rsid w:val="0026439A"/>
    <w:rsid w:val="00286011"/>
    <w:rsid w:val="00310598"/>
    <w:rsid w:val="0038557F"/>
    <w:rsid w:val="00387D72"/>
    <w:rsid w:val="003920EA"/>
    <w:rsid w:val="003D66BE"/>
    <w:rsid w:val="00450C58"/>
    <w:rsid w:val="004639D8"/>
    <w:rsid w:val="00466C92"/>
    <w:rsid w:val="00487C8C"/>
    <w:rsid w:val="004A1707"/>
    <w:rsid w:val="004C1790"/>
    <w:rsid w:val="004F3B9D"/>
    <w:rsid w:val="00565438"/>
    <w:rsid w:val="005A2D35"/>
    <w:rsid w:val="0061084F"/>
    <w:rsid w:val="00663C7F"/>
    <w:rsid w:val="006A67F9"/>
    <w:rsid w:val="006E368D"/>
    <w:rsid w:val="00722196"/>
    <w:rsid w:val="00750A81"/>
    <w:rsid w:val="00752E94"/>
    <w:rsid w:val="007C5A71"/>
    <w:rsid w:val="00810B36"/>
    <w:rsid w:val="00857779"/>
    <w:rsid w:val="00866C40"/>
    <w:rsid w:val="0088465A"/>
    <w:rsid w:val="008D7D27"/>
    <w:rsid w:val="009D7A82"/>
    <w:rsid w:val="00A0515C"/>
    <w:rsid w:val="00A30B97"/>
    <w:rsid w:val="00A43619"/>
    <w:rsid w:val="00A52DEC"/>
    <w:rsid w:val="00A94148"/>
    <w:rsid w:val="00AF60EC"/>
    <w:rsid w:val="00B1668B"/>
    <w:rsid w:val="00B24D88"/>
    <w:rsid w:val="00B45A87"/>
    <w:rsid w:val="00B50F6B"/>
    <w:rsid w:val="00B77D44"/>
    <w:rsid w:val="00B90AE4"/>
    <w:rsid w:val="00C25012"/>
    <w:rsid w:val="00C55E81"/>
    <w:rsid w:val="00C97396"/>
    <w:rsid w:val="00CE636F"/>
    <w:rsid w:val="00D858F1"/>
    <w:rsid w:val="00DA5E61"/>
    <w:rsid w:val="00E1335F"/>
    <w:rsid w:val="00E80878"/>
    <w:rsid w:val="00EB2016"/>
    <w:rsid w:val="00EC7DE0"/>
    <w:rsid w:val="00ED0C92"/>
    <w:rsid w:val="00EF6C66"/>
    <w:rsid w:val="00F319E8"/>
    <w:rsid w:val="00F3275A"/>
    <w:rsid w:val="00F82F56"/>
    <w:rsid w:val="00F9564E"/>
    <w:rsid w:val="00FD2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CA4D187-C342-48A2-916D-C8E97CA3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79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3B9D"/>
    <w:rPr>
      <w:rFonts w:ascii="Tahoma" w:eastAsia="Calibri" w:hAnsi="Tahoma" w:cs="Tahoma"/>
      <w:sz w:val="16"/>
      <w:szCs w:val="16"/>
      <w:lang w:eastAsia="en-US"/>
    </w:rPr>
  </w:style>
  <w:style w:type="character" w:customStyle="1" w:styleId="a4">
    <w:name w:val="Текст выноски Знак"/>
    <w:basedOn w:val="a0"/>
    <w:link w:val="a3"/>
    <w:uiPriority w:val="99"/>
    <w:semiHidden/>
    <w:rsid w:val="004F3B9D"/>
    <w:rPr>
      <w:rFonts w:ascii="Tahoma" w:hAnsi="Tahoma" w:cs="Tahoma"/>
      <w:sz w:val="16"/>
      <w:szCs w:val="16"/>
    </w:rPr>
  </w:style>
  <w:style w:type="paragraph" w:styleId="a5">
    <w:name w:val="List Paragraph"/>
    <w:basedOn w:val="a"/>
    <w:uiPriority w:val="34"/>
    <w:qFormat/>
    <w:rsid w:val="004F3B9D"/>
    <w:pPr>
      <w:spacing w:after="200" w:line="276" w:lineRule="auto"/>
      <w:ind w:left="720"/>
      <w:contextualSpacing/>
    </w:pPr>
    <w:rPr>
      <w:rFonts w:ascii="Calibri" w:eastAsia="Calibri" w:hAnsi="Calibri"/>
      <w:sz w:val="22"/>
      <w:szCs w:val="22"/>
      <w:lang w:eastAsia="en-US"/>
    </w:rPr>
  </w:style>
  <w:style w:type="paragraph" w:styleId="a6">
    <w:name w:val="Body Text Indent"/>
    <w:basedOn w:val="a"/>
    <w:link w:val="a7"/>
    <w:rsid w:val="00B45A87"/>
    <w:pPr>
      <w:ind w:firstLine="567"/>
      <w:jc w:val="both"/>
    </w:pPr>
    <w:rPr>
      <w:szCs w:val="20"/>
    </w:rPr>
  </w:style>
  <w:style w:type="character" w:customStyle="1" w:styleId="a7">
    <w:name w:val="Основной текст с отступом Знак"/>
    <w:basedOn w:val="a0"/>
    <w:link w:val="a6"/>
    <w:rsid w:val="00B45A87"/>
    <w:rPr>
      <w:rFonts w:ascii="Times New Roman" w:eastAsia="Times New Roman" w:hAnsi="Times New Roman" w:cs="Times New Roman"/>
      <w:sz w:val="24"/>
      <w:szCs w:val="20"/>
      <w:lang w:eastAsia="ru-RU"/>
    </w:rPr>
  </w:style>
  <w:style w:type="paragraph" w:styleId="a8">
    <w:name w:val="caption"/>
    <w:basedOn w:val="a"/>
    <w:next w:val="a"/>
    <w:uiPriority w:val="35"/>
    <w:unhideWhenUsed/>
    <w:qFormat/>
    <w:rsid w:val="00126A5B"/>
    <w:pPr>
      <w:spacing w:after="200"/>
    </w:pPr>
    <w:rPr>
      <w:b/>
      <w:bCs/>
      <w:color w:val="4F81BD"/>
      <w:sz w:val="18"/>
      <w:szCs w:val="18"/>
    </w:rPr>
  </w:style>
  <w:style w:type="paragraph" w:styleId="a9">
    <w:name w:val="Body Text"/>
    <w:basedOn w:val="a"/>
    <w:link w:val="aa"/>
    <w:rsid w:val="0088465A"/>
    <w:pPr>
      <w:spacing w:after="120"/>
    </w:pPr>
  </w:style>
  <w:style w:type="character" w:customStyle="1" w:styleId="aa">
    <w:name w:val="Основной текст Знак"/>
    <w:basedOn w:val="a0"/>
    <w:link w:val="a9"/>
    <w:rsid w:val="0088465A"/>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487C8C"/>
    <w:pPr>
      <w:tabs>
        <w:tab w:val="center" w:pos="4677"/>
        <w:tab w:val="right" w:pos="9355"/>
      </w:tabs>
    </w:pPr>
  </w:style>
  <w:style w:type="character" w:customStyle="1" w:styleId="ac">
    <w:name w:val="Верхний колонтитул Знак"/>
    <w:basedOn w:val="a0"/>
    <w:link w:val="ab"/>
    <w:uiPriority w:val="99"/>
    <w:semiHidden/>
    <w:rsid w:val="00487C8C"/>
    <w:rPr>
      <w:rFonts w:ascii="Times New Roman" w:eastAsia="Times New Roman" w:hAnsi="Times New Roman"/>
      <w:sz w:val="24"/>
      <w:szCs w:val="24"/>
    </w:rPr>
  </w:style>
  <w:style w:type="paragraph" w:styleId="ad">
    <w:name w:val="footer"/>
    <w:basedOn w:val="a"/>
    <w:link w:val="ae"/>
    <w:uiPriority w:val="99"/>
    <w:semiHidden/>
    <w:unhideWhenUsed/>
    <w:rsid w:val="00487C8C"/>
    <w:pPr>
      <w:tabs>
        <w:tab w:val="center" w:pos="4677"/>
        <w:tab w:val="right" w:pos="9355"/>
      </w:tabs>
    </w:pPr>
  </w:style>
  <w:style w:type="character" w:customStyle="1" w:styleId="ae">
    <w:name w:val="Нижний колонтитул Знак"/>
    <w:basedOn w:val="a0"/>
    <w:link w:val="ad"/>
    <w:uiPriority w:val="99"/>
    <w:semiHidden/>
    <w:rsid w:val="00487C8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i="1"/>
            </a:pPr>
            <a:r>
              <a:rPr lang="ru-RU" sz="1400" i="1"/>
              <a:t>Произведено сельскохозяйственной продукции (</a:t>
            </a:r>
            <a:r>
              <a:rPr lang="ru-RU" sz="1200" i="1"/>
              <a:t>млн.руб</a:t>
            </a:r>
            <a:r>
              <a:rPr lang="ru-RU" sz="1400" i="1"/>
              <a:t>.)</a:t>
            </a:r>
          </a:p>
        </c:rich>
      </c:tx>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2826802952867689"/>
          <c:y val="0.15952380952380954"/>
          <c:w val="0.8194889267461668"/>
          <c:h val="0.69773809523809549"/>
        </c:manualLayout>
      </c:layout>
      <c:bar3DChart>
        <c:barDir val="bar"/>
        <c:grouping val="clustered"/>
        <c:varyColors val="0"/>
        <c:ser>
          <c:idx val="0"/>
          <c:order val="0"/>
          <c:tx>
            <c:strRef>
              <c:f>Лист1!$B$1</c:f>
              <c:strCache>
                <c:ptCount val="1"/>
                <c:pt idx="0">
                  <c:v>Произведено сельскохозяйственной продукции (млн.руб.)</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Лист1!$A$2:$A$8</c:f>
              <c:numCache>
                <c:formatCode>General</c:formatCode>
                <c:ptCount val="7"/>
                <c:pt idx="0">
                  <c:v>2003</c:v>
                </c:pt>
                <c:pt idx="1">
                  <c:v>2004</c:v>
                </c:pt>
                <c:pt idx="2">
                  <c:v>2005</c:v>
                </c:pt>
                <c:pt idx="3">
                  <c:v>2006</c:v>
                </c:pt>
                <c:pt idx="4">
                  <c:v>2007</c:v>
                </c:pt>
                <c:pt idx="5">
                  <c:v>2008</c:v>
                </c:pt>
                <c:pt idx="6">
                  <c:v>2009</c:v>
                </c:pt>
              </c:numCache>
            </c:numRef>
          </c:cat>
          <c:val>
            <c:numRef>
              <c:f>Лист1!$B$2:$B$8</c:f>
              <c:numCache>
                <c:formatCode>General</c:formatCode>
                <c:ptCount val="7"/>
                <c:pt idx="0">
                  <c:v>546.6</c:v>
                </c:pt>
                <c:pt idx="1">
                  <c:v>1081.5</c:v>
                </c:pt>
                <c:pt idx="2">
                  <c:v>1215.3</c:v>
                </c:pt>
                <c:pt idx="3">
                  <c:v>1350.5</c:v>
                </c:pt>
                <c:pt idx="4">
                  <c:v>1919.2</c:v>
                </c:pt>
                <c:pt idx="5">
                  <c:v>2300</c:v>
                </c:pt>
                <c:pt idx="6">
                  <c:v>2518.4</c:v>
                </c:pt>
              </c:numCache>
            </c:numRef>
          </c:val>
        </c:ser>
        <c:dLbls>
          <c:showLegendKey val="0"/>
          <c:showVal val="0"/>
          <c:showCatName val="0"/>
          <c:showSerName val="0"/>
          <c:showPercent val="0"/>
          <c:showBubbleSize val="0"/>
        </c:dLbls>
        <c:gapWidth val="150"/>
        <c:shape val="cylinder"/>
        <c:axId val="1653585808"/>
        <c:axId val="1653593968"/>
        <c:axId val="0"/>
      </c:bar3DChart>
      <c:catAx>
        <c:axId val="1653585808"/>
        <c:scaling>
          <c:orientation val="minMax"/>
        </c:scaling>
        <c:delete val="0"/>
        <c:axPos val="l"/>
        <c:title>
          <c:tx>
            <c:rich>
              <a:bodyPr/>
              <a:lstStyle/>
              <a:p>
                <a:pPr>
                  <a:defRPr/>
                </a:pPr>
                <a:r>
                  <a:rPr lang="ru-RU"/>
                  <a:t>год</a:t>
                </a:r>
              </a:p>
            </c:rich>
          </c:tx>
          <c:overlay val="0"/>
        </c:title>
        <c:numFmt formatCode="General" sourceLinked="1"/>
        <c:majorTickMark val="none"/>
        <c:minorTickMark val="none"/>
        <c:tickLblPos val="nextTo"/>
        <c:crossAx val="1653593968"/>
        <c:crosses val="autoZero"/>
        <c:auto val="1"/>
        <c:lblAlgn val="ctr"/>
        <c:lblOffset val="100"/>
        <c:noMultiLvlLbl val="0"/>
      </c:catAx>
      <c:valAx>
        <c:axId val="1653593968"/>
        <c:scaling>
          <c:orientation val="minMax"/>
        </c:scaling>
        <c:delete val="0"/>
        <c:axPos val="b"/>
        <c:majorGridlines/>
        <c:title>
          <c:tx>
            <c:rich>
              <a:bodyPr/>
              <a:lstStyle/>
              <a:p>
                <a:pPr>
                  <a:defRPr b="0"/>
                </a:pPr>
                <a:r>
                  <a:rPr lang="ru-RU" b="0"/>
                  <a:t>млн.руб.</a:t>
                </a:r>
              </a:p>
            </c:rich>
          </c:tx>
          <c:layout>
            <c:manualLayout>
              <c:xMode val="edge"/>
              <c:yMode val="edge"/>
              <c:x val="0.42350740229021633"/>
              <c:y val="0.94005343082114734"/>
            </c:manualLayout>
          </c:layout>
          <c:overlay val="0"/>
        </c:title>
        <c:numFmt formatCode="General" sourceLinked="1"/>
        <c:majorTickMark val="out"/>
        <c:minorTickMark val="none"/>
        <c:tickLblPos val="nextTo"/>
        <c:crossAx val="1653585808"/>
        <c:crosses val="autoZero"/>
        <c:crossBetween val="between"/>
      </c:valAx>
      <c:spPr>
        <a:noFill/>
        <a:ln w="25396">
          <a:noFill/>
        </a:ln>
      </c:spPr>
    </c:plotArea>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i="1"/>
            </a:pPr>
            <a:r>
              <a:rPr lang="ru-RU" sz="1200" i="1"/>
              <a:t>Оборот розничной торговли и предоставление платных услуг населению (млн. руб.)</a:t>
            </a:r>
          </a:p>
        </c:rich>
      </c:tx>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3124579124579128"/>
          <c:y val="0.13367088607594937"/>
          <c:w val="0.82161616161616158"/>
          <c:h val="0.67532077477657071"/>
        </c:manualLayout>
      </c:layout>
      <c:bar3DChart>
        <c:barDir val="bar"/>
        <c:grouping val="clustered"/>
        <c:varyColors val="0"/>
        <c:ser>
          <c:idx val="0"/>
          <c:order val="0"/>
          <c:tx>
            <c:strRef>
              <c:f>Лист1!$B$1</c:f>
              <c:strCache>
                <c:ptCount val="1"/>
                <c:pt idx="0">
                  <c:v>Объем платных услуг населению (млн. руб.)</c:v>
                </c:pt>
              </c:strCache>
            </c:strRef>
          </c:tx>
          <c:spPr>
            <a:solidFill>
              <a:srgbClr val="4C37E9"/>
            </a:solidFill>
            <a:ln>
              <a:solidFill>
                <a:sysClr val="windowText" lastClr="000000">
                  <a:lumMod val="85000"/>
                  <a:lumOff val="15000"/>
                </a:sysClr>
              </a:solidFill>
            </a:ln>
          </c:spPr>
          <c:invertIfNegative val="0"/>
          <c:dLbls>
            <c:dLbl>
              <c:idx val="0"/>
              <c:layout>
                <c:manualLayout>
                  <c:x val="-6.7340067340067346E-3"/>
                  <c:y val="1.350210970464135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350210970464135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1151787985519204E-17"/>
                  <c:y val="1.687763713080174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1151787985519204E-17"/>
                  <c:y val="1.350210970464135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025316455696202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2446689113355782E-3"/>
                  <c:y val="2.0253164556962029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1.350210970464135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Лист1!$A$2:$A$8</c:f>
              <c:numCache>
                <c:formatCode>General</c:formatCode>
                <c:ptCount val="7"/>
                <c:pt idx="0">
                  <c:v>2003</c:v>
                </c:pt>
                <c:pt idx="1">
                  <c:v>2004</c:v>
                </c:pt>
                <c:pt idx="2">
                  <c:v>2005</c:v>
                </c:pt>
                <c:pt idx="3">
                  <c:v>2006</c:v>
                </c:pt>
                <c:pt idx="4">
                  <c:v>2007</c:v>
                </c:pt>
                <c:pt idx="5">
                  <c:v>2008</c:v>
                </c:pt>
                <c:pt idx="6">
                  <c:v>2009</c:v>
                </c:pt>
              </c:numCache>
            </c:numRef>
          </c:cat>
          <c:val>
            <c:numRef>
              <c:f>Лист1!$B$2:$B$8</c:f>
              <c:numCache>
                <c:formatCode>General</c:formatCode>
                <c:ptCount val="7"/>
                <c:pt idx="0">
                  <c:v>758.3</c:v>
                </c:pt>
                <c:pt idx="1">
                  <c:v>1054.5</c:v>
                </c:pt>
                <c:pt idx="2">
                  <c:v>1323.5</c:v>
                </c:pt>
                <c:pt idx="3">
                  <c:v>1558.4</c:v>
                </c:pt>
                <c:pt idx="4">
                  <c:v>1806.5</c:v>
                </c:pt>
                <c:pt idx="5">
                  <c:v>2100</c:v>
                </c:pt>
                <c:pt idx="6">
                  <c:v>3142</c:v>
                </c:pt>
              </c:numCache>
            </c:numRef>
          </c:val>
        </c:ser>
        <c:ser>
          <c:idx val="1"/>
          <c:order val="1"/>
          <c:tx>
            <c:strRef>
              <c:f>Лист1!$C$1</c:f>
              <c:strCache>
                <c:ptCount val="1"/>
                <c:pt idx="0">
                  <c:v>Оборот розничной торговли (млн. руб.)</c:v>
                </c:pt>
              </c:strCache>
            </c:strRef>
          </c:tx>
          <c:spPr>
            <a:solidFill>
              <a:srgbClr val="C0504D"/>
            </a:solidFill>
            <a:ln>
              <a:solidFill>
                <a:schemeClr val="tx1">
                  <a:lumMod val="85000"/>
                  <a:lumOff val="15000"/>
                </a:schemeClr>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Лист1!$A$2:$A$8</c:f>
              <c:numCache>
                <c:formatCode>General</c:formatCode>
                <c:ptCount val="7"/>
                <c:pt idx="0">
                  <c:v>2003</c:v>
                </c:pt>
                <c:pt idx="1">
                  <c:v>2004</c:v>
                </c:pt>
                <c:pt idx="2">
                  <c:v>2005</c:v>
                </c:pt>
                <c:pt idx="3">
                  <c:v>2006</c:v>
                </c:pt>
                <c:pt idx="4">
                  <c:v>2007</c:v>
                </c:pt>
                <c:pt idx="5">
                  <c:v>2008</c:v>
                </c:pt>
                <c:pt idx="6">
                  <c:v>2009</c:v>
                </c:pt>
              </c:numCache>
            </c:numRef>
          </c:cat>
          <c:val>
            <c:numRef>
              <c:f>Лист1!$C$2:$C$8</c:f>
              <c:numCache>
                <c:formatCode>General</c:formatCode>
                <c:ptCount val="7"/>
                <c:pt idx="0">
                  <c:v>2062.8000000000002</c:v>
                </c:pt>
                <c:pt idx="1">
                  <c:v>2387.4</c:v>
                </c:pt>
                <c:pt idx="2">
                  <c:v>2971</c:v>
                </c:pt>
                <c:pt idx="3">
                  <c:v>3282.5</c:v>
                </c:pt>
                <c:pt idx="4">
                  <c:v>3943.4</c:v>
                </c:pt>
                <c:pt idx="5">
                  <c:v>5000</c:v>
                </c:pt>
                <c:pt idx="6">
                  <c:v>5810.8</c:v>
                </c:pt>
              </c:numCache>
            </c:numRef>
          </c:val>
        </c:ser>
        <c:dLbls>
          <c:showLegendKey val="0"/>
          <c:showVal val="0"/>
          <c:showCatName val="0"/>
          <c:showSerName val="0"/>
          <c:showPercent val="0"/>
          <c:showBubbleSize val="0"/>
        </c:dLbls>
        <c:gapWidth val="150"/>
        <c:shape val="box"/>
        <c:axId val="1653579824"/>
        <c:axId val="1653582544"/>
        <c:axId val="0"/>
      </c:bar3DChart>
      <c:catAx>
        <c:axId val="1653579824"/>
        <c:scaling>
          <c:orientation val="minMax"/>
        </c:scaling>
        <c:delete val="0"/>
        <c:axPos val="l"/>
        <c:title>
          <c:tx>
            <c:rich>
              <a:bodyPr/>
              <a:lstStyle/>
              <a:p>
                <a:pPr>
                  <a:defRPr/>
                </a:pPr>
                <a:r>
                  <a:rPr lang="ru-RU"/>
                  <a:t>год</a:t>
                </a:r>
              </a:p>
            </c:rich>
          </c:tx>
          <c:overlay val="0"/>
        </c:title>
        <c:numFmt formatCode="General" sourceLinked="1"/>
        <c:majorTickMark val="none"/>
        <c:minorTickMark val="none"/>
        <c:tickLblPos val="nextTo"/>
        <c:crossAx val="1653582544"/>
        <c:crosses val="autoZero"/>
        <c:auto val="1"/>
        <c:lblAlgn val="ctr"/>
        <c:lblOffset val="100"/>
        <c:noMultiLvlLbl val="0"/>
      </c:catAx>
      <c:valAx>
        <c:axId val="1653582544"/>
        <c:scaling>
          <c:orientation val="minMax"/>
        </c:scaling>
        <c:delete val="0"/>
        <c:axPos val="b"/>
        <c:majorGridlines/>
        <c:title>
          <c:tx>
            <c:rich>
              <a:bodyPr/>
              <a:lstStyle/>
              <a:p>
                <a:pPr>
                  <a:defRPr b="0"/>
                </a:pPr>
                <a:r>
                  <a:rPr lang="ru-RU" b="0"/>
                  <a:t>млн.руб.</a:t>
                </a:r>
              </a:p>
            </c:rich>
          </c:tx>
          <c:layout>
            <c:manualLayout>
              <c:xMode val="edge"/>
              <c:yMode val="edge"/>
              <c:x val="0.48562103979426824"/>
              <c:y val="0.87506800890395031"/>
            </c:manualLayout>
          </c:layout>
          <c:overlay val="0"/>
        </c:title>
        <c:numFmt formatCode="General" sourceLinked="1"/>
        <c:majorTickMark val="out"/>
        <c:minorTickMark val="none"/>
        <c:tickLblPos val="nextTo"/>
        <c:crossAx val="1653579824"/>
        <c:crosses val="autoZero"/>
        <c:crossBetween val="between"/>
      </c:valAx>
      <c:spPr>
        <a:noFill/>
        <a:ln w="25400">
          <a:noFill/>
        </a:ln>
      </c:spPr>
    </c:plotArea>
    <c:legend>
      <c:legendPos val="b"/>
      <c:overlay val="0"/>
      <c:txPr>
        <a:bodyPr/>
        <a:lstStyle/>
        <a:p>
          <a:pPr>
            <a:defRPr sz="10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i="1"/>
            </a:pPr>
            <a:r>
              <a:rPr lang="ru-RU" sz="1200" i="1"/>
              <a:t>Виды торговых предприятий</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2009г.</c:v>
                </c:pt>
              </c:strCache>
            </c:strRef>
          </c:tx>
          <c:spPr>
            <a:solidFill>
              <a:schemeClr val="accent5">
                <a:lumMod val="60000"/>
                <a:lumOff val="40000"/>
              </a:schemeClr>
            </a:solidFill>
            <a:ln>
              <a:solidFill>
                <a:schemeClr val="tx2"/>
              </a:solidFill>
            </a:ln>
          </c:spPr>
          <c:invertIfNegative val="0"/>
          <c:dLbls>
            <c:spPr>
              <a:noFill/>
              <a:ln>
                <a:noFill/>
              </a:ln>
              <a:effectLst/>
            </c:spPr>
            <c:txPr>
              <a:bodyPr/>
              <a:lstStyle/>
              <a:p>
                <a:pPr>
                  <a:defRPr sz="11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магазины</c:v>
                </c:pt>
                <c:pt idx="1">
                  <c:v>павильоны</c:v>
                </c:pt>
                <c:pt idx="2">
                  <c:v>киоски</c:v>
                </c:pt>
              </c:strCache>
            </c:strRef>
          </c:cat>
          <c:val>
            <c:numRef>
              <c:f>Лист1!$B$2:$B$4</c:f>
              <c:numCache>
                <c:formatCode>General</c:formatCode>
                <c:ptCount val="3"/>
                <c:pt idx="0">
                  <c:v>393</c:v>
                </c:pt>
                <c:pt idx="1">
                  <c:v>40</c:v>
                </c:pt>
                <c:pt idx="2">
                  <c:v>43</c:v>
                </c:pt>
              </c:numCache>
            </c:numRef>
          </c:val>
        </c:ser>
        <c:ser>
          <c:idx val="1"/>
          <c:order val="1"/>
          <c:tx>
            <c:strRef>
              <c:f>Лист1!$C$1</c:f>
              <c:strCache>
                <c:ptCount val="1"/>
                <c:pt idx="0">
                  <c:v>2008 г.</c:v>
                </c:pt>
              </c:strCache>
            </c:strRef>
          </c:tx>
          <c:spPr>
            <a:solidFill>
              <a:schemeClr val="accent6">
                <a:lumMod val="60000"/>
                <a:lumOff val="40000"/>
              </a:schemeClr>
            </a:solidFill>
            <a:ln>
              <a:solidFill>
                <a:schemeClr val="accent6">
                  <a:lumMod val="75000"/>
                </a:schemeClr>
              </a:solidFill>
            </a:ln>
          </c:spPr>
          <c:invertIfNegative val="0"/>
          <c:dLbls>
            <c:spPr>
              <a:noFill/>
              <a:ln>
                <a:noFill/>
              </a:ln>
              <a:effectLst/>
            </c:spPr>
            <c:txPr>
              <a:bodyPr/>
              <a:lstStyle/>
              <a:p>
                <a:pPr>
                  <a:defRPr sz="11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магазины</c:v>
                </c:pt>
                <c:pt idx="1">
                  <c:v>павильоны</c:v>
                </c:pt>
                <c:pt idx="2">
                  <c:v>киоски</c:v>
                </c:pt>
              </c:strCache>
            </c:strRef>
          </c:cat>
          <c:val>
            <c:numRef>
              <c:f>Лист1!$C$2:$C$4</c:f>
              <c:numCache>
                <c:formatCode>General</c:formatCode>
                <c:ptCount val="3"/>
                <c:pt idx="0">
                  <c:v>371</c:v>
                </c:pt>
                <c:pt idx="1">
                  <c:v>40</c:v>
                </c:pt>
                <c:pt idx="2">
                  <c:v>44</c:v>
                </c:pt>
              </c:numCache>
            </c:numRef>
          </c:val>
        </c:ser>
        <c:dLbls>
          <c:showLegendKey val="0"/>
          <c:showVal val="0"/>
          <c:showCatName val="0"/>
          <c:showSerName val="0"/>
          <c:showPercent val="0"/>
          <c:showBubbleSize val="0"/>
        </c:dLbls>
        <c:gapWidth val="75"/>
        <c:shape val="box"/>
        <c:axId val="1653580912"/>
        <c:axId val="1653566224"/>
        <c:axId val="0"/>
      </c:bar3DChart>
      <c:catAx>
        <c:axId val="1653580912"/>
        <c:scaling>
          <c:orientation val="minMax"/>
        </c:scaling>
        <c:delete val="0"/>
        <c:axPos val="b"/>
        <c:numFmt formatCode="General" sourceLinked="1"/>
        <c:majorTickMark val="none"/>
        <c:minorTickMark val="none"/>
        <c:tickLblPos val="nextTo"/>
        <c:crossAx val="1653566224"/>
        <c:crosses val="autoZero"/>
        <c:auto val="1"/>
        <c:lblAlgn val="ctr"/>
        <c:lblOffset val="100"/>
        <c:noMultiLvlLbl val="0"/>
      </c:catAx>
      <c:valAx>
        <c:axId val="1653566224"/>
        <c:scaling>
          <c:orientation val="minMax"/>
        </c:scaling>
        <c:delete val="0"/>
        <c:axPos val="l"/>
        <c:majorGridlines/>
        <c:numFmt formatCode="General" sourceLinked="1"/>
        <c:majorTickMark val="none"/>
        <c:minorTickMark val="none"/>
        <c:tickLblPos val="nextTo"/>
        <c:spPr>
          <a:ln w="9525">
            <a:noFill/>
          </a:ln>
        </c:spPr>
        <c:crossAx val="1653580912"/>
        <c:crosses val="autoZero"/>
        <c:crossBetween val="between"/>
      </c:valAx>
      <c:spPr>
        <a:noFill/>
        <a:ln w="25399">
          <a:noFill/>
        </a:ln>
      </c:spPr>
    </c:plotArea>
    <c:legend>
      <c:legendPos val="b"/>
      <c:overlay val="0"/>
      <c:txPr>
        <a:bodyPr/>
        <a:lstStyle/>
        <a:p>
          <a:pPr>
            <a:defRPr sz="11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i="1"/>
          </a:pPr>
          <a:endParaRPr lang="ru-RU"/>
        </a:p>
      </c:txPr>
    </c:title>
    <c:autoTitleDeleted val="0"/>
    <c:view3D>
      <c:rotX val="30"/>
      <c:rotY val="120"/>
      <c:rAngAx val="0"/>
    </c:view3D>
    <c:floor>
      <c:thickness val="0"/>
    </c:floor>
    <c:sideWall>
      <c:thickness val="0"/>
    </c:sideWall>
    <c:backWall>
      <c:thickness val="0"/>
    </c:backWall>
    <c:plotArea>
      <c:layout>
        <c:manualLayout>
          <c:layoutTarget val="inner"/>
          <c:xMode val="edge"/>
          <c:yMode val="edge"/>
          <c:x val="3.4722222222222224E-2"/>
          <c:y val="0.21031746031746079"/>
          <c:w val="0.87268518518518612"/>
          <c:h val="0.64841269841269844"/>
        </c:manualLayout>
      </c:layout>
      <c:pie3DChart>
        <c:varyColors val="1"/>
        <c:ser>
          <c:idx val="0"/>
          <c:order val="0"/>
          <c:tx>
            <c:strRef>
              <c:f>Лист1!$B$1</c:f>
              <c:strCache>
                <c:ptCount val="1"/>
                <c:pt idx="0">
                  <c:v>Удельный вес инвестиций по видам экономической деятельности</c:v>
                </c:pt>
              </c:strCache>
            </c:strRef>
          </c:tx>
          <c:explosion val="9"/>
          <c:dPt>
            <c:idx val="2"/>
            <c:bubble3D val="0"/>
            <c:explosion val="24"/>
          </c:dPt>
          <c:dLbls>
            <c:dLbl>
              <c:idx val="0"/>
              <c:layout>
                <c:manualLayout>
                  <c:x val="3.2860710435459009E-4"/>
                  <c:y val="-0.23146512935883018"/>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3.4405894575678088E-2"/>
                  <c:y val="-5.8822334708161512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0.17110327354913971"/>
                  <c:y val="0.12354799400074991"/>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1200"/>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Лист1!$A$2:$A$5</c:f>
              <c:strCache>
                <c:ptCount val="4"/>
                <c:pt idx="0">
                  <c:v>Транспорт</c:v>
                </c:pt>
                <c:pt idx="1">
                  <c:v>Сельское хозяйство</c:v>
                </c:pt>
                <c:pt idx="2">
                  <c:v>добыча полезных ископаемых</c:v>
                </c:pt>
                <c:pt idx="3">
                  <c:v>Прочие</c:v>
                </c:pt>
              </c:strCache>
            </c:strRef>
          </c:cat>
          <c:val>
            <c:numRef>
              <c:f>Лист1!$B$2:$B$5</c:f>
              <c:numCache>
                <c:formatCode>0.0%</c:formatCode>
                <c:ptCount val="4"/>
                <c:pt idx="0">
                  <c:v>0.66900000000000015</c:v>
                </c:pt>
                <c:pt idx="1">
                  <c:v>0.28000000000000008</c:v>
                </c:pt>
                <c:pt idx="2">
                  <c:v>2.0000000000000004E-2</c:v>
                </c:pt>
                <c:pt idx="3">
                  <c:v>3.099999999999992E-2</c:v>
                </c:pt>
              </c:numCache>
            </c:numRef>
          </c:val>
        </c:ser>
        <c:dLbls>
          <c:showLegendKey val="0"/>
          <c:showVal val="0"/>
          <c:showCatName val="0"/>
          <c:showSerName val="0"/>
          <c:showPercent val="0"/>
          <c:showBubbleSize val="0"/>
          <c:showLeaderLines val="1"/>
        </c:dLbls>
      </c:pie3DChart>
      <c:spPr>
        <a:noFill/>
        <a:ln w="25396">
          <a:noFill/>
        </a:ln>
      </c:spPr>
    </c:plotArea>
    <c:plotVisOnly val="1"/>
    <c:dispBlanksAs val="zero"/>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i="1"/>
            </a:pPr>
            <a:r>
              <a:rPr lang="ru-RU" sz="1200" i="1"/>
              <a:t>Среднемнесячные</a:t>
            </a:r>
            <a:r>
              <a:rPr lang="ru-RU" sz="1200" i="1" baseline="0"/>
              <a:t> денежные доходы и расходы на душу населения (руб.)</a:t>
            </a:r>
            <a:endParaRPr lang="ru-RU" sz="1200" i="1"/>
          </a:p>
        </c:rich>
      </c:tx>
      <c:overlay val="0"/>
    </c:title>
    <c:autoTitleDeleted val="0"/>
    <c:view3D>
      <c:rotX val="15"/>
      <c:rotY val="20"/>
      <c:depthPercent val="100"/>
      <c:rAngAx val="1"/>
    </c:view3D>
    <c:floor>
      <c:thickness val="0"/>
    </c:floor>
    <c:sideWall>
      <c:thickness val="0"/>
    </c:sideWall>
    <c:backWall>
      <c:thickness val="0"/>
    </c:backWall>
    <c:plotArea>
      <c:layout/>
      <c:bar3DChart>
        <c:barDir val="bar"/>
        <c:grouping val="stacked"/>
        <c:varyColors val="0"/>
        <c:ser>
          <c:idx val="0"/>
          <c:order val="0"/>
          <c:tx>
            <c:strRef>
              <c:f>Лист1!$B$1</c:f>
              <c:strCache>
                <c:ptCount val="1"/>
                <c:pt idx="0">
                  <c:v>Среднемесячные денежные доходы населения</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2003</c:v>
                </c:pt>
                <c:pt idx="1">
                  <c:v>2004</c:v>
                </c:pt>
                <c:pt idx="2">
                  <c:v>2005</c:v>
                </c:pt>
                <c:pt idx="3">
                  <c:v>2006</c:v>
                </c:pt>
                <c:pt idx="4">
                  <c:v>2007</c:v>
                </c:pt>
                <c:pt idx="5">
                  <c:v>2008</c:v>
                </c:pt>
                <c:pt idx="6">
                  <c:v>9 месяцев 2009г.</c:v>
                </c:pt>
              </c:strCache>
            </c:strRef>
          </c:cat>
          <c:val>
            <c:numRef>
              <c:f>Лист1!$B$2:$B$8</c:f>
              <c:numCache>
                <c:formatCode>General</c:formatCode>
                <c:ptCount val="7"/>
                <c:pt idx="0">
                  <c:v>3623</c:v>
                </c:pt>
                <c:pt idx="1">
                  <c:v>4246</c:v>
                </c:pt>
                <c:pt idx="2">
                  <c:v>5192</c:v>
                </c:pt>
                <c:pt idx="3">
                  <c:v>6009</c:v>
                </c:pt>
                <c:pt idx="4">
                  <c:v>7043</c:v>
                </c:pt>
                <c:pt idx="5">
                  <c:v>8252</c:v>
                </c:pt>
                <c:pt idx="6">
                  <c:v>9371</c:v>
                </c:pt>
              </c:numCache>
            </c:numRef>
          </c:val>
        </c:ser>
        <c:ser>
          <c:idx val="1"/>
          <c:order val="1"/>
          <c:tx>
            <c:strRef>
              <c:f>Лист1!$C$1</c:f>
              <c:strCache>
                <c:ptCount val="1"/>
                <c:pt idx="0">
                  <c:v>Среднемесячные денежные расходы населения</c:v>
                </c:pt>
              </c:strCache>
            </c:strRef>
          </c:tx>
          <c:spPr>
            <a:solidFill>
              <a:schemeClr val="accent6">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2003</c:v>
                </c:pt>
                <c:pt idx="1">
                  <c:v>2004</c:v>
                </c:pt>
                <c:pt idx="2">
                  <c:v>2005</c:v>
                </c:pt>
                <c:pt idx="3">
                  <c:v>2006</c:v>
                </c:pt>
                <c:pt idx="4">
                  <c:v>2007</c:v>
                </c:pt>
                <c:pt idx="5">
                  <c:v>2008</c:v>
                </c:pt>
                <c:pt idx="6">
                  <c:v>9 месяцев 2009г.</c:v>
                </c:pt>
              </c:strCache>
            </c:strRef>
          </c:cat>
          <c:val>
            <c:numRef>
              <c:f>Лист1!$C$2:$C$8</c:f>
              <c:numCache>
                <c:formatCode>General</c:formatCode>
                <c:ptCount val="7"/>
                <c:pt idx="0">
                  <c:v>2191</c:v>
                </c:pt>
                <c:pt idx="1">
                  <c:v>2679</c:v>
                </c:pt>
                <c:pt idx="2">
                  <c:v>3359</c:v>
                </c:pt>
                <c:pt idx="3">
                  <c:v>3834</c:v>
                </c:pt>
                <c:pt idx="4">
                  <c:v>4509</c:v>
                </c:pt>
                <c:pt idx="5">
                  <c:v>5710</c:v>
                </c:pt>
                <c:pt idx="6">
                  <c:v>6691</c:v>
                </c:pt>
              </c:numCache>
            </c:numRef>
          </c:val>
        </c:ser>
        <c:dLbls>
          <c:showLegendKey val="0"/>
          <c:showVal val="0"/>
          <c:showCatName val="0"/>
          <c:showSerName val="0"/>
          <c:showPercent val="0"/>
          <c:showBubbleSize val="0"/>
        </c:dLbls>
        <c:gapWidth val="75"/>
        <c:shape val="box"/>
        <c:axId val="1653577648"/>
        <c:axId val="1653598864"/>
        <c:axId val="0"/>
      </c:bar3DChart>
      <c:catAx>
        <c:axId val="1653577648"/>
        <c:scaling>
          <c:orientation val="minMax"/>
        </c:scaling>
        <c:delete val="0"/>
        <c:axPos val="l"/>
        <c:numFmt formatCode="General" sourceLinked="1"/>
        <c:majorTickMark val="none"/>
        <c:minorTickMark val="none"/>
        <c:tickLblPos val="nextTo"/>
        <c:crossAx val="1653598864"/>
        <c:crosses val="autoZero"/>
        <c:auto val="1"/>
        <c:lblAlgn val="ctr"/>
        <c:lblOffset val="100"/>
        <c:noMultiLvlLbl val="0"/>
      </c:catAx>
      <c:valAx>
        <c:axId val="1653598864"/>
        <c:scaling>
          <c:orientation val="minMax"/>
        </c:scaling>
        <c:delete val="0"/>
        <c:axPos val="b"/>
        <c:majorGridlines/>
        <c:numFmt formatCode="General" sourceLinked="1"/>
        <c:majorTickMark val="none"/>
        <c:minorTickMark val="none"/>
        <c:tickLblPos val="nextTo"/>
        <c:spPr>
          <a:ln w="9523">
            <a:noFill/>
          </a:ln>
        </c:spPr>
        <c:crossAx val="1653577648"/>
        <c:crosses val="autoZero"/>
        <c:crossBetween val="between"/>
      </c:valAx>
      <c:spPr>
        <a:noFill/>
        <a:ln w="25396">
          <a:noFill/>
        </a:ln>
      </c:spPr>
    </c:plotArea>
    <c:legend>
      <c:legendPos val="b"/>
      <c:overlay val="0"/>
      <c:txPr>
        <a:bodyPr/>
        <a:lstStyle/>
        <a:p>
          <a:pPr>
            <a:defRPr sz="10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8</Pages>
  <Words>3077</Words>
  <Characters>17545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Вован</dc:creator>
  <cp:keywords/>
  <cp:lastModifiedBy>Емельянова Анна Александровна</cp:lastModifiedBy>
  <cp:revision>2</cp:revision>
  <dcterms:created xsi:type="dcterms:W3CDTF">2023-06-07T00:08:00Z</dcterms:created>
  <dcterms:modified xsi:type="dcterms:W3CDTF">2023-06-07T00:08:00Z</dcterms:modified>
</cp:coreProperties>
</file>