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005" w:type="dxa"/>
        <w:tblCellSpacing w:w="0" w:type="dxa"/>
        <w:tblInd w:w="4962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0005"/>
      </w:tblGrid>
      <w:tr>
        <w:tblPrEx/>
        <w:trPr>
          <w:tblCellSpacing w:w="0" w:type="dxa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05" w:type="dxa"/>
            <w:vAlign w:val="top"/>
            <w:textDirection w:val="lrTb"/>
            <w:noWrap w:val="false"/>
          </w:tcPr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УТВЕРЖДЁН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постановлением администрации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Артёмовского городского округа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от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АДМИНИСТРАТИВНЫЙ РЕГЛАМЕНТ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Принятие граждан на учет в качестве нуждающихся в жилых помещениях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1. О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бщие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положения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highlight w:val="none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1.1. Предмет регулирования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Административный регламент предоставления администрацией Артемовского городского округа муниципальной услуги «Принятие граждан на учет в качестве нуждающихся в жилых помещениях»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(далее – 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егламент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муниципальная услуга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разработан в целях повышения качества и доступности предоставления государственной (муниципальной</w:t>
      </w:r>
      <w:r>
        <w:rPr>
          <w:rFonts w:ascii="Arial" w:hAnsi="Arial" w:eastAsia="Arial" w:cs="Arial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определяет стандарт, сроки и последовательность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административных процедур (действий) при предоставлении муниципальной услуги, требования к порядку их выполнени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я, порядок, формы контроля за исполнением Регламента, досудебный (внесудебный) порядок обжалования решений и действий (бездействия) администрации Артемовского городского округа (далее - администрация), предоставляющей муниципальную услугу, должностного лиц</w:t>
      </w:r>
      <w:r>
        <w:rPr>
          <w:rFonts w:ascii="Times New Roman" w:hAnsi="Times New Roman"/>
          <w:sz w:val="28"/>
          <w:szCs w:val="28"/>
          <w:lang w:eastAsia="ru-RU"/>
        </w:rPr>
        <w:t xml:space="preserve">а администрации, предоставляющего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муниципальную услугу, либо работника многофункционального центра.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Настоящий Административный регламент</w:t>
        <w:br/>
        <w:t xml:space="preserve">регулирует отношения возникающие на основании</w:t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</w:p>
    <w:p>
      <w:pPr>
        <w:pStyle w:val="874"/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hyperlink r:id="rId10" w:tooltip="https://login.consultant.ru/link/?req=doc&amp;base=LAW&amp;n=2875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Конституци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и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Российской Федерации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</w:p>
    <w:p>
      <w:pPr>
        <w:ind w:firstLine="708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Жилищного </w:t>
      </w:r>
      <w:hyperlink r:id="rId11" w:tooltip="https://login.consultant.ru/link/?req=doc&amp;base=LAW&amp;n=466787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кодекса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Российской Федерации;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pStyle w:val="874"/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16"/>
          <w:szCs w:val="16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Федеральн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ого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hyperlink r:id="rId12" w:tooltip="https://login.consultant.ru/link/?req=doc&amp;base=LAW&amp;n=480453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закон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а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от 27.07.2010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210-ФЗ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16"/>
          <w:szCs w:val="16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16"/>
          <w:szCs w:val="16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16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Федеральн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ого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hyperlink r:id="rId13" w:tooltip="https://login.consultant.ru/link/?req=doc&amp;base=LAW&amp;n=471024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закон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а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от 06.10.2003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131-ФЗ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r:id="rId14" w:tooltip="https://login.consultant.ru/link/?req=doc&amp;base=LAW&amp;n=399487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Постановлени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я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Правительства Российской Федерации от 25.10.2021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            №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1818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Об отд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r:id="rId15" w:tooltip="https://login.consultant.ru/link/?req=doc&amp;base=RLAW020&amp;n=185363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Закон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а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Приморского края от 11.11.2005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297-КЗ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r:id="rId16" w:tooltip="https://login.consultant.ru/link/?req=doc&amp;base=RLAW020&amp;n=197165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Устав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а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Артемовского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городского округа;</w:t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Постановлени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я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администрации Артемовского городского округа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от 18.05.2022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316-па (ред. от 14.06.2024)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 Порядке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  <w:r>
        <w:rPr>
          <w:rFonts w:ascii="Times New Roman" w:hAnsi="Times New Roman" w:cs="Times New Roman"/>
          <w:b w:val="0"/>
          <w:i w:val="0"/>
          <w:strike w:val="0"/>
          <w:sz w:val="16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иными нормативными правовыми актами.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1.2. Круг заявителей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1.2.1.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Заявителями на получение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являются физические лица – малоимущие и другие категории граждан, определенные федеральным законом, указом Президента Российской Федерации или законом субъекта Российской Федерации, нуждающиеся в жилых помещениях (далее – Заявитель)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1.2.2.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Интересы заявителей, указанных в пункте 1.2 настоящего Регламента, могут представлять лица, обладающие соответствующими полномочиями (далее – представитель).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8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порядку информирования о пред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Информирование о порядке предоставления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осуществляется: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непосредственно при личном приеме заявителя в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или многофункциональном центре предоставления государственных и муниципальных услуг (далее – многофункциональный центр)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телефону в отделе учета и распределения жилья администрации Артемовского городского округа или многофункциональном центре;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письменно, в том числе посредством электронной почты, факсимильной связи;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посредством размещения в открытой и доступной форме информации: </w:t>
        <w:tab/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(https://www.gosuslugi.ru/)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– ЕПГУ);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официальном сайте Артемовского городского округа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</w:rPr>
        <w:t xml:space="preserve">https://artemokrug.gosuslugi.ru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посредством размещения информации на информационных стендах администрации Артемовского городского округа или многофункционального центра.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Информирование осуществляется по вопросам, касающимся: </w:t>
        <w:tab/>
        <w:t xml:space="preserve">способов подачи заявления о предоставлении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адресов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многофункциональных центров, обращение в которые необходимо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справочной информации о работе отдела учета и распределения жилья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и услуг, которые являются необходимыми и обязательными для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и сроков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получения сведений о ходе рассмотрения заявления о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и о результатах предоставления муниципальной услуги;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досудебного (внесудебного) обжалования действий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бездействия) должностных лиц, и принимаемых ими решений при предоставлении муниципальной услуги.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Получение информации по вопросам предоставления муниципальной услуги и услуг, которые являются необходимыми и обязательными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для предоставления муниципальной услуги осуществляется бесплатно.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При устном обращении Заявителя (лично или по телефону)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должностное лицо отдела учета и распределения жилья администрации Артемовского городского округа,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сам.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Если должностное лицо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изложить обращение в письменной форме;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назначить другое время для консультаций.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Должностное лицо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 впр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Продолжительность информирования по телефону не должна превышать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10 минут.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Информирование осуществляется в соответствии с графиком приема граждан.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 письменному обращению должностное лицо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ответственный за предоставление муниципальной услуги, подробно в письменной форме разъясняет гражданину сведения по вопросам, указанным в пункте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настоящего Регламента в порядке, установленном Федеральным законом от 2 мая 2006 г. № 59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ФЗ «О порядке рассмотрения обращений граждан Российской Федерации» (далее – Федеральный закон № 59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ФЗ).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1.3.5.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2011 года №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861.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ты, регистрацию или авторизацию заявителя или предоставление им персональных данных.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1.3.6.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официальном сайте администрации Артемовского городского округа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 следующая справочная информация: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месте нахождения и графике работы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отдела учета и распределения жилья, ответственных за предоставление муниципальной услуги, а также многофункциональных центров; справочные телефоны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ответственных за предоставление муниципальной услуги, в том числе номер телефона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автоинформатора (при наличии); адрес официального сайта, а также электронной почты и (или) формы обратной связи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сети «Интернет».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1.3.7. В залах ожидания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размещаются нормативные правовые акты, регулирующие поря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док предоставления муниципальной) услуги, в том числе Регламент, которые по требованию заявителя предоставляются ему для ознакомления.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1.3.8. Размещение информации о порядке предоставления муниципальной ус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 учетом требований к информированию, установленных 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егламентом.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1.3.9.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отделе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при обращении заявителя лично, по телефону посредством электронной почты.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4"/>
        <w:ind w:firstLine="709"/>
        <w:jc w:val="center"/>
        <w:spacing w:after="0" w:line="36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 С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тандарт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предоставления муниципальной услуги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 Наименование муниципальной услуги: «Принятие граждан на учет в качестве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нуждающихся в жилых помещениях»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предоставляется администрацией Артемов</w:t>
      </w:r>
      <w:r>
        <w:rPr>
          <w:rFonts w:ascii="Times New Roman" w:hAnsi="Times New Roman"/>
          <w:sz w:val="28"/>
          <w:szCs w:val="28"/>
          <w:lang w:eastAsia="ru-RU"/>
        </w:rPr>
        <w:t xml:space="preserve">ского городского округа в лице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2.3. При предоставлении муниципальной услуги администрация Артемовского городского округа взаимодействует с: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2.3.1. Федеральной налоговой службой в части по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лучения сведений из Единого государственного реестра записей актов гражданского состояния о рождении, о заключении брака; получение сведений из Единого государственного реестра юридических лиц, в случае подачи заявления представителем (юридическим лицом);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2.3.2. Министерством внутренних дел Российской Федерации в части получения сведений, подтвер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впоследствии реабилитированного.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2.3.3. Пенсионным Фондом Российской Федерации в части проверки соответствия фамильно</w:t>
      </w:r>
      <w:r>
        <w:rPr>
          <w:rFonts w:ascii="Arial" w:hAnsi="Arial" w:eastAsia="Arial" w:cs="Arial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2.3.4. Федеральной службы государственной регистрации, кадастра и карт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ографии в части получения сведений из Единого государственного реестра недви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жимости на имеющиеся объекты недвижимости.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2.3.5.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ганами местного самоуправления в части получения сведений о признани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жилого помещения непригодным для проживания и многоквартирного дома аварийным и подлежащим сносу или реконструкции.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2.4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При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отделу учета и распределения жилья администрации Артемовского городского округа запрещается требовать от заявителя осуществления действий, в том числе согласований, необходимых 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ля получения муниципальной</w:t>
      </w:r>
      <w:r>
        <w:rPr>
          <w:rFonts w:ascii="Arial" w:hAnsi="Arial" w:eastAsia="Arial" w:cs="Arial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одимыми и обязательными для предоставления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2.5 Описание результата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Результатом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является: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2.5.1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Решение о предоставлении муниципальной услуги по форме, согласно Приложению № 1 к настоящему Регламенту (для цели обращения «Постановка на учет граждан, нуждающихся в предоставлении жилого помещения»)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2.5.2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Уведомление об учете граждан, нуждающихся в жилых помещениях,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форме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согласно Приложению № 2 к настоящему Регламенту (для цели обращений «Внесение изменений в сведения о гражданах, нуждающихся в предоставлении жилого помещения», «Предоставление информации о движении в очереди граждан, нуждающихся в предост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авлении жилого помещения»).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2.5.3.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Уведомление о снятии с учета граждан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нуждающихся в жилых помещениях по форме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согласно Приложению № 3 к настоящему Регламенту (для целей обращений «Внесение изменений в сведения о гражданах, нуждающихся в предоставлении жилого помещения», «Снятие с учета граждан, нуждающихся в предоставлении жилого помещения»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2.5.4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Решение об отказе в предоставлении муниципальной услуги по форме, согласно Приложению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настоящему Регламенту.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2.6.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Срок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с учетом необходимости обращения в организации, участвующие в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срок приостановления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срок выдачи (направления) документов, являющихся результатом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Администрация Артемовского городского округа в течение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25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рабочих дней со дня регистрации заявления и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администрацию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направляет заявителю способом указанном в заявлении один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 результатов, указанных в пункте 2.5 Регламента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2.7. Нормативные правовые акты, регулирующие предоставление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Перечень нормативных правовых актов, регулирующих предоставление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(с указанием их реквизитов и источников официального опубликования), в федеральной государственной информационной системе «Федеральный реестр государственных и муниципальных услуг (функций)» и на ЕПГУ.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2.8.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и услуг, которые являются необходимыми и обязательными для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подлежащих представлению заявителем, способы их получения заявителем, в том числе в электронной форме, порядок их представления.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получения муниципальной услуги заявитель представляет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Заявление о предоставлении муниципальной услуги по форме, согласно Приложению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настоящему Регламенту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иной форме.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в форме электронного документа в личном кабинете на ЕПГУ; дополнительно на бумажном носителе в виде расп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ечатанного экземпляра электронного документа в администрацию Артемовского городского округа, многофункциональном центре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Документ, удостоверяющий личность заявителя, представителя.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случае, если заявление подается представителем, дополнит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ельно предоставляется документ, подтверждающий полномочия представителя действовать от имени заявителя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документ, подтверждающий полномочия заявител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документ, подтверждающий полномочия заявителя выдано нотариусом – должен быть подписан усиленной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квалификационной электронной подписью нотариуса, в иных случаях – подписанный простой электронной подписью.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2.8.3.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Документы, подтверждающие родственные отношения и отношения свойства с членами семьи: свидетельство о рождении, свидетельство о смерти, свидетельство о браке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копии документов удостоверяющих личность членов семьи, достигших 14 летнего возраста,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ностранного государства и их нотариально удостоверенный перевод на русский язык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их наличии, свидетельства об усыновлении, выданные органами записи актов гражданского состояния или консульскими учреждениями Российской Федерации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их наличии, копия вступившего в законную силу решения соответствующего суда о признании гражданина членом семьи заявителя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наличии такого решения)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свидетельства о перемене фамилии, имени, отчества (при их наличии).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2.8.4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равоустанавливающие документы на занимаемое жилое помещение, право на которое не зарегистрировано в ЕГРН: договор найма; договор купли-продажи; договор дарения; договор мены; договор ренты (пожизненного содержания с иждивением); свидетельство о праве на 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следство по закону; свидетельство о праве на наследство по завещанию; решение суда;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2.8.5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рственным учреждением медико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социальной экспертизы; заключение врачебной 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2.8.6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2.8.7.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 о гражданах, зарегистрированных по месту жительства заявителя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2.8.8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 из учреждения, осуществляющего кадастровую оценку и техническую инвентаризацию, на заявителя и членов семьи о наличии прав на объекты недвижимости.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2.8.9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Решение суда об установлении факта проживания в жилом помещении для лиц, не имеющих регистрацию по месту жительства.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2.8.10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Документ, удостоверяющий права (полномочия) представителя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физического лица, если с заявлением обращается представитель заявителя.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2.9.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Заявления и прилагаемые документы, указанные в пункте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2.9 - 2.18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Административного регламента, направляются (подаются) 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Уполномоченный орган в электронной форме путем заполнения формы запроса через личный кабинет на ЕПГУ.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2.10.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которые находятся в распоряжении администрации Артемовского городского округа и иных органов, участвующих в предоставлении муниципальных услуг.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2.10.1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администрации Артемовского городского округа и иных органов,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участвующих в предоставлении муниципальной услуги в случае обращения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из Единого государственного реестра записей актов гражданского состояния о рождении, о заключении брака;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проверка соответствия фамильно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именной группы, даты рождения, пола и СНИЛС;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сведения, подтверждающие действительность паспорта гражданина Российской Федерации;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сведения, подтверждающие место жительства, сведения из Единого государственного реестра недвижимости об объектах недвижимости;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об инвалидности; сведения о реабилитации лица, репрессированного по политическим мотивам;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признании жилого помещения непригодным для проживания и многоквартирного дома аварийным и подлежащим сносу или реконструкции; сведения о страховом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стаже застрахованного лица;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сведениями из договора социального найма жилого помещения;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сведения, подтверждающие наличие действующего удостоверения многодетной семьи;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из Единого государственного реестра юридических лиц;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из Единого государ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ственного реестра индивидуальных предпринимателей;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признании гражданина малоимущим.</w:t>
      </w:r>
      <w:r/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При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запрещается требовать от заявителя: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лением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 представления документов и информации, которые в соответствии с нормативными правовыми актами Российской Федерации и Приморского края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муниципальными правовыми актами администрации Артемовского городского округа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находятся в распоряжении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предоставляющих муниципальную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 статьи 7 Федерального закона от 27 июля 2010 года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 «Об организации предоставления государственных и муниципальных услуг» (далее – Федеральный закон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ФЗ);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либо в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за исключением следующих случаев: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нали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услуги и не включенных в представленный ранее комплект документов;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услуги, либо в предост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авлении муниципальной услуги; выявление документально подтвержденного факта (признаков) ошибочного или противоправного действия (бездействия) должностного лица отдела учета и распределения жилья администрации Артемовского городского округа, служащего, рабо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тника многофункционального центра, работника организации, предусмотренной частью 1.1 статьи 16 Федерального закона          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ФЗ, при первоначальном отказе в приеме документов, необхо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димых для предоставления государственной (муниципальной) услуги, либо в предоставлении государственной (муниципальной) услуги, о чем в письменном виде за подписью руководителя отдела учета и распределения жилья администрации Артемовского городского округа,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руководителя многофункционального центра при первоначальном отказе в приеме документов, необходимых для предоставления государственной (муниципальной) услуги, либо руководителя организации, предусмотренной частью 1.1 статьи 16 Федерального закона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ФЗ, уведомляется заявитель, а также приносятся извинения за доставленные неудобства.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2.12. Исчерпывающий перечень оснований для отказа в приеме документов, необходимых 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2.12.1.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Основаниями для отказа в приеме к рассмотрению документов, необходимых для предоставления муниципальной услуги, являются: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 запрос о предоставлении услуги подан в орган местного самоуправления или организаци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ю, в полномочия которых не входит предоставление 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 неполное заполнение обязательных полей в форме запроса о предоставлении услуги (недостоверное, неправильное);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3) представление неполного комплекта документов;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4) представленные документы утратили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5) представленные документы содержат подчистки и исправления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7) представл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8) заявление подано лицом, не имеющим полномочий представлять ин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тересы заявителя.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2.13. Исчерпывающий перечень оснований для приостановления или отказа в предоставлении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2.13.1.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Оснований для приостановления предоставления муниципальной услуги законодательством Российской Федерации не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предусмотрено.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2.14.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Основания для отказа в предоставлении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 (сведения), представленные заявителем, противоречат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документам (сведениям), полученным в рамках межведомственного взаимодействия;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 представленными документами и сведениями не подтверждается право гражданина состоять на учете в качестве нуждающи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хся в жилых помещениях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не истек срок совершения действий, предусмотренных статьей 53 Жилищного кодекса, которые привели к ухудшению жилищных условий.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2.15.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обращения по подуслуге «Внесение изменений в сведения о гражданах, нуждающихся в предоставлении жилого помещения» основаниями для отказа в предоставлении подуслуги являются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: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2.16.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обращения по подуслуге «Предоставление информации о движении в очереди граждан, нуждающихся в предоставлении жилого помещения» основаниями для отказа в предоставлении подуслуги являются: документы (сведения), представленные заявителем, противореча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 документам (сведениям), полученным в рамках межведомственного взаимодействия.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2.17.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обращения по подуслуге «Снятие с учета граждан, нуждающихся в предоставлении жилого помещения» основаниями для отказа в предоставлении подуслуги являются: документы (сведения), представленные заявителем, противоречат документам (сведениям), получе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нным в рамках межведомственного взаимодействия.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2.18. Перечень услуг, которые являются необходимыми и обязательными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необходимые и обязательные для предоставления муниципальной услуги, отсутствуют.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2.19. Порядок, размер и основания взимания государственной пошлины или иной оплаты, взимаемой за предоставление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Предоставление муниципальной услуги осуществляется бесплатно.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2.20. Порядок, размер и основания взимания платы за предоставление услуг, которые являются необходимыми и обязательными 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включая информацию о методике расчета размера такой платы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необходимые и обязательные для предоставления муниципальной услуги, отсутствуют.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2.21. Максимальный срок ожидания в очереди при подаче запроса о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и при получении результата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Артемовского городского округа или многофункциональном центре составля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ет не более 15 минут.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2.22. Срок и порядок регистрации запроса заявителя о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в электронной форме.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Срок регистрации заявления о предоставлении муниципальной услуги подлежат регистрации в администрации Артемовского городского округа в течение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рабочего дня со дня получения заявления и документов, необходимых для предоставления муниципальной услуги.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наличия оснований для отказа в приеме документов, необходимых для предоставления муниципальной услуги, 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казанных в пункте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2.14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Регламента,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отдел учета и распределения жилья администрации Артемовского городского округа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решение об отказе в приеме документов, необходимых для предоставления муниципальной услуги по форме, приведенной в Приложении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настоящему Регламенту.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2.23. Требования к помещениям, в которых предоставляется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муниципальная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а также выдача результатов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должно обеспечивать удобство для граждан с точки зрения пешеходной доступности от остановок общественного транспорта.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парковки специальных автотранспортных средств инвалидов на стоянке (парковке)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ревозящих таких инвалидов и (или) детей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инвалидов.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Федерации о социальной защите инвалидов.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наименование;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местонахождение и юридический адрес;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режим работы;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график приема;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ера телефонов для справок.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Помещения, в которых предоставляется государственная (муниципальная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услуга, должны соответствовать санитарно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эпидемиологическим правилам и нормативам.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Помещения, в которых предоставляется государственная (муниципальная) услуга, оснащаются: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противопожарной системой и средствами пожаротушения;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системой оповещения о возникновении чрезвычайной ситуации;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средствами ок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азания первой медицинской помощи; туалетными комнатами для посетителей.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ными стендами.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Места для заполнения заявлений оборудуются стульями, столами (стойками), б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ланками заявлений, письменными принадлежностями.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Места приема Заявителей оборудуются информационными табличками (вывесками) с указанием: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номера кабинета и наименования отдела;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фамилии, имени и отчества (последнее – при наличии), должности ответственного ли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ца за прием документов;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графика приема Заявителей.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нтером) и копирующим устройством.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наличии) и должности.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предоставлении муниципальной услуги инвалидам обеспечиваются: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беспрепятственного доступа к объекту (зданию, помещению), в котором предоставляется государственная (муниципальная) услуга;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том числе с использование кресла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коляски;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которых предоставляется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муниципальная услуга, и к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услуге с учетом ограничений их жизнедеятельности;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точечным шрифтом Брайля;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допуск сурдопереводчика и тифлосурдопереводчика;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допуск собаки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оказание инвалидам помощи в преодолении барьеров, мешающих получению ими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муниципальных услуг наравне с другими лицами.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2.24.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Показатели доступности и качества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услуги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Основными показателями доступности предоставления муниципальной  услуги являются: наличие полной и понятной информации о порядке, сроках и ходе предоставления муниципальной услуги в информационно-телекоммуникационных сет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ях общего пользования (в том числе в сети «Интернет»), средствах массовой информации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получения заявителем уведомлений о предоставлении муниципальной услуги с помощью ЕПГУ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получения информации о ходе предоставления муниципальной услуги, в том числе с использованием информационно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коммуникационных технологий.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2.25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Основными показателями качества предоставления муниципальной услуги являются: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егламентом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минимально возможное количество взаимодействий гражданина с должностными лицами, участвующими в предоставлении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отсутствие нарушений установленных сроков в процессе предоставления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отсу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тствие заявлений об оспаривании решений, действий (бездействия) администрации Артемовского городского округа, его должностных лиц, принимаемых (совершенных) при предоставлении муниципальной услуги, по итогам рассмотрения которых вынесены решения об удовлет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ворении (частичном удовлетворении) требований заявителей.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2.26. Иные требования, в том числе учитывающие особенности предоставления муниципальной</w:t>
      </w:r>
      <w:r>
        <w:rPr>
          <w:rFonts w:ascii="Arial" w:hAnsi="Arial" w:eastAsia="Arial" w:cs="Arial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2.27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аполняет заявление о предоставлении муниципальной услуги с использованием интерактивной формы в электронном виде.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Заполненное заявление о предоставлении муниципальной услуги отправляется заявителем вместе с прикрепленным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электронными образами документов, необходимыми для предоставления муниципальной услуги, в администрацию Артемовского городского округа. При авторизации в ЕСИА заявление о предоставлении муниципальной услуги считается подписанным простой элект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ронной подписью заявителя, представителя, уполномоченного на подписание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Результаты предоставления муниципальной услуги, указанные в пункте 2.5 настоящего Регламента, направляются заявителю, представителю в лич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ный кабинет на ЕПГУ 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 отдела учета и распределения жилья администрации Артемовского городского округа в случае направления заявления посредством ЕПГУ.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направления заявления посре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2.28.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Электронные документы представляются в следующих форматах: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xml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формализованных документов;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doc, docx, odt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 с текстовым содержанием, не включающим формулы (за исключением документов, указанных в подпункте «в» настоящего пункта);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xls, xlsx, ods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документов, содержащих расчеты;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pdf, jpg, jpeg, png, bmp, tiff 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zip, rar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– для сжатых документов в один файл;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sig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– для открепленной усиленной квалифицированной электронной подписи.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ии оригинала документа в разрешении 300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500 dpi (масштаб 1:1) с использованием следующих режимов: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«черно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белый» (при отсутствии в документе графических изображений и (или) цветного текста);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«оттенки серого» (при наличии в документе графических изображений,</w:t>
        <w:br/>
        <w:t xml:space="preserve">отличных от цветного графического изображения);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сохранением всех аутентичных признаков подлинности, а именно: графической подписи лица, печати, углового штампа бланка;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Электронные документы должны обеспечивать: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идентифицировать документ и количество листов в документе;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Документы, подлежащие представлению в форматах xls, xlsx ил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ods, формируются в виде отдельного электронного документа.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3.1. Исчерпывающий перечень административных процедур.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Предоставление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включает в себя следующие административные процедуры: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проверка документов и регистрация заявления;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– СМЭВ)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рассмотрение документов и сведений;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принятие решения;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выдача результата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внесение результата муниципальной услуги в реестр юридически значимых записей.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Описание связей административных процедур и административных действий с их характеристиками представлено в Приложении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7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настоящему Регламенту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 </w:t>
      </w:r>
      <w:r/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3.2. Перечень административных процедур (действий) при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услуг в электронной форме.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электронной форме заявителю обеспечиваются: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информации о порядке и сроках предоставления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заявления;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прием и регистрация администрацией Артемовского городского округа заявления и иных документов, необходимых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результата предоставления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сведений о ходе рассмотрения заявления;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осуществление оценки качества предоставления муниципальной 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досудебное (внесудебно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е) обжалование решений и действий (бездействия) администрации Артемовского городского округа либо действия (бездействие) должностных лиц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предоставляющего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муниципальную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услугу, либо муниципального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служащего.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3.3. Порядок осуществления административных процедур (действий) в электронной форме.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иной форме.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Форматно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логическая проверка сформированного заявления осуществляется после заполнения заявителем каждого из полей электронной формы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выявлении некорректно заполненного поля электронной формы заявления заявитель уведомляется о характере выявленной оши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бки и порядке ее устранения посредством информационного сообщения непосредственно в электронной форме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формировании заявления заявителю обеспечивается: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возможность копирования и сохранения заявления и иных документов, указанных в пунктах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2.9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–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2.11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Регламента,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возможность печати на бумажном носителе копии электронной формы заявления;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торного ввода значений в электронную форму заявления;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ствующих в ЕСИА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 заявлений – в течение не менее 3 месяцев.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администрацию Артемовского городского округа посредством ЕПГУ.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3.4.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Администрацию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обес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прием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и направление заявителю электронного сообщения о поступлении заявления;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3.5. Электронное заявление становится доступным для должностного лица отдела учета и распределения жилья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ответственного за прием и регистрацию заявления (далее – ответственное должностное лицо), в государственной информационной системе, используемой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администрацией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для предоставления муниципальной услуги (далее – ГИС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Ответственное должностное лицо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проверяет наличие электронных заявлений, поступивших с ЕПГУ, с периодом не реже 2 раз в день;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рассматривает поступившие заявления и приложенные образы документов (документы);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производит действия в соответствии с пунктом 3.4 настоящего Рег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3.6. Заявителю в качестве результата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обеспечивается возможность получения документа: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форме электронного документа, подписанного усиленной квалифицированной электронной подписью уполномоченного должностного лица отдела учета и распределения жилья администрации Артемовского городского округа, направленного заявителю в личный кабинет на ЕПГУ;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3.7. Получение информации о ходе рассмотрения заявления и о результате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предо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ставлении муниципальной услуги в электронной форме заявителю направляется: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уведомление о приеме и регистрации заявления и иных документов, необходимых для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уведомление о результатах рассмотрения документов, необходимых для предоставления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отказ в предоставлении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3.8. Оценка качества предоставления муниципальной услуги.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Оценка качества предоставления муниципальной услу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ги осуществляется в соответствии с распоряжением администрации Артемовского городского округа от 30.12.2011 № 721-ра «Об утверждении методики проведения мониторинга качества предоставления муниципальной услуги на территории Артемовского городского округа».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3.9. Заявителю обеспечивается возможность направления жалобы на решения, действия или бездействие администрации Артемовского городского округа, должностного лица отдела учета и распределения жилья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либо муниципального служащего в соответс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твии со статьей 11.2 Федерального закона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вия), совершенных при предоставлении государственных и муниципальных услуг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3.10.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Порядок исправления допущенных опечаток и ошибок в выданных в результате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услуги документах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выявления опечаток и ошибок заявитель вправе обратиться в администрацию Артемовского городского округа с заявлением с приложением документов, указанных в пункте 2.9. настоящего Регламента.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3.11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Основания отказа в приеме заявления об исправлении опечаток и ошибок указаны в пункте 2.13 настоящего Регламента.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3.12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3.12.1. Заявитель при обнаружении опечаток и ошибок в документах, выданных в результате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предоставления муниципальной услуги, обращается лично в администрацию Артемовского городского округа с заявлением о необходимости исправления опечаток и ошибок, в котором содержится указание на их описание.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3.12.2. Администрация Артемовского городского округа при получении заявления, 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3.12.3.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Администрация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обеспечив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ает устранение опечаток и ошибок в документах, являющихся результатом предоставления муниципальной услуги.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3.12.4. Срок устранения опечаток и ошибок не должен превышать 3 (трех) рабочих дней с даты регистрации заявления, указанного в подп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ункте 3.12.1 пункта 3.12 настоящего подраздела.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. Формы контроля за исполнением административного регламента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тавлению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услуги, а также принятием ими решений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4.1. Текущий контроль за соблюдением и исполнением настоящего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уполномоченными на осуществление контроля за предоставлением муниципальной услуги.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Текущий контроль осуществляется путем проведения проверок: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решений о предоставлении (об отказе в предоставлении) государственной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выявления и устранения нарушений прав граждан;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порядок и формы контроля за полнотой и качеством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4.3. Контроль за полнотой и качеством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включает в себя проведение плановых и внеплановых проверок.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4.4. Плановые проверки осуществляются на основании годовых планов работы администрации Артемовского городского округа, утверждаемых руководителем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плановой проверке полноты и качества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предоставления государственной (муниципальной) услуги контролю подлежат: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соблюдение сроков предоставления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соблюдение положений настоящего Регламента;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правильность и обоснованность принятого решения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 отказе в предоставлении муниципальной услуги.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Основанием для проведения внеплановых проверок являются: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ных правовых актов Российской Федерации, нормативных правовых актов Приморского края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нормативных правовых актов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обращения граждан и юридических лиц на нарушения законодательства, в том числе на качество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4.5. Ответственность должностных лиц за решения и действия (бездействие), принимаемые (осуществляемые) ими в ходе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4.6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По результатам проведенных проверок в случае выявления нарушений п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оложений настоящего Регламента, нормативных правовых актов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Приморского края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и нормативных правовых актов администрации Артемовского городского округа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существляется привлечение виновных лиц к ответственности в соответствии с законодательством Российской Федерации. Персональная ответственность должностных лиц за правильность и своевременность принятия решения о предоставлении (об отказе в предоставлении)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закрепляется в их должностных регламентах в соответствии с требованиями законодательства.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4.7.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Требования к порядку и формам контроля за предоставлением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со стороны граждан, их объединений и организаций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4.8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Граждане, их объединения и организации имеют право осуществлять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контроль за предоставлением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Граждане, их объединения и организации также имеют право: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направлять замечания и предложен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ия по улучшению доступности и качества предоставления муниципальной 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вносить предложения о мерах по устранению нарушений настоящего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4.9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Должностные лица администрации Артемовского городского округа принимают меры к прекращению допущенных нарушений, устраняют причины и условия, способствующие совершению нарушений.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Информация о результатах рассмотрения замечаний и предложений граждан, их объединений и организац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ий доводится до сведения лиц, направивших эти замечания и предложения.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5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муниципальную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услугу, а также их должностных лиц,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муниципальных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служащих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5.1. Заявитель имеет право на обжалование решения и (или) действий (бездействия) администрации Артемовского городского округа, должностных лиц отдела учета и распределения жилья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муниципальных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служащих, многофункционального центра, а также работника многофункционального центра при предоставлении государственной (муниципальной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досудебном (внесудебном) порядке (далее – жалоба).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5.2. Администрация Артемовского городского округа,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5.3.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администрацию Артемовского городского округа – на решение и (или) действия (бездействие) должностного лица, руководител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отдела учета и распределения жилья администрации Артемовского городского округа, на решение и действия (бездействие)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руководителя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вышестоящий орган на решение и (или) действия (бездействие) должностного лица, руководителя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руководителю многофункционального центра – на решения и действия (бездействие) работника многофункционального центра; к учредителю многофункционального центра – на решение и действия (бездействие) многофункционально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 центра.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5.4.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5.5.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Информация о порядке подачи и рассмотрения жалобы размещается на информационных стендах в местах предоставления муниципальной услуги, на сайте администрации Артемовского городского округа, ЕПГУ, а также предоставляется в устной форме по телефону и (или) 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 личном приеме либо в письменной форме почтовым отправлением по адресу, указанному заявителем (представителем).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5.6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</w:t>
      </w:r>
      <w:r>
        <w:rPr>
          <w:rFonts w:ascii="Arial" w:hAnsi="Arial" w:eastAsia="Arial" w:cs="Arial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5.7. Порядок досудебного (внесудебного) обжалования решений и действий (бездействия) администрации Артемовского городского округа, предоставляющего муниципальную</w:t>
      </w:r>
      <w:r>
        <w:rPr>
          <w:rFonts w:ascii="Arial" w:hAnsi="Arial" w:eastAsia="Arial" w:cs="Arial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услугу, а также его должностных лиц регулируется: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Федеральным законом «Об организации предоставления государственных и муниципальных услуг»;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лении государственных и муниципальных услуг».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left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6. Особенности выполнения административных процедур (действий) в многофункциональных центрах предоставления государственных и муниципальных услуг.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6.1. Исчерпывающий перечень административных процедур (действий) при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выполняемых многофункциональными центрами.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6.2 Многофункциональный центр осуществляет: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информирование заявителей о порядке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многофункциональном центре, по иным вопросам, связанным с предоставлением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а также консультирование заявителей о порядке предоставления муниципальной услуги в многофункциональном центре;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выдачу заявителю результата предоставления муниципальной услуги, на бумажном носителе, подтверждающи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 содержание электронных документов, направленных в многофункциональный центр по результатам предоставления муниципальной услуги а также выдача документов, включая составление на бумажном носителе и заверение выписок из информационных сис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тем органов, предоставляющих муниципальных услуг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иные процедуры и действия, предусмотренные Федеральным законом       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210-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соответствии с частью 1.1 статьи 16 Федерального закона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 для реализации своих функций многофункциональные центры вправе при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влекать иные организации.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6.3. Информирование заявителей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Информирование заявителя многофункциональными центрами осуществляется следующими способами: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центров;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личном обращении работник многофункционального центра подробно информирует заявителей по интересующим их во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просам в вежливой корректной форме с использованием официально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делового стиля речи.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Ответ на телефонный звонок должен начи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Индивидуальное устное консультирование при обращении заявителя по телефону работник многофункционально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 центра осуществляет не более 10 минут;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изложи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ть обращение в письменной форме (ответ направляется Заявителю в соответствии со способом, указанным в обращении);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назначить другое время для консультаций.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консультировании по письменным обращениям заявителей ответ направляется в письменном виде в срок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есу, указанному в обращении, поступившем в многофункциональный центр в письменной форме.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6.4. Выдача заявителю результата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Arial" w:hAnsi="Arial" w:eastAsia="Arial" w:cs="Arial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наличии в заявлении о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указания о выдаче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результатов оказания услуги через многофункциональный центр, администрация Артемовского городского округа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йствии заключенным между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администрацией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многофункциональным центром в порядке, утвержденном Постановлением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797.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Порядок и сроки передачи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администрацией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таких документов в многофункциональный центр определяются соглашением о взаимодействии, заключенным ими в порядке, установленном Постановлением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797.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Прием заявителей для выдачи документов, являющихся результатом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Работник многофункционального центра осуществляет следующие действия: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устанавливает личность зая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вителя на основании документа, удостоверяющего личность в соответствии с законодательством Российской Федерации;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проверяет полномочия представителя заявителя (в случае обращения представителя заявителя);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определяет статус исполнения заявления заявителя в 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Российской Федерации случаях – печати с изображением Государственного герба Российской Федерации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ации);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выдает документы заявителю, при необходимости запрашивает у заявителя подписи за каждый выданный документ;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запрашивает согласие заявителя на участие в смс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опросе для оценки качества предоставленных услуг многофункциональным центром.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33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3"/>
      <w:numFmt w:val="decimal"/>
      <w:isLgl w:val="false"/>
      <w:suff w:val="tab"/>
      <w:lvlText w:val="%1.%2."/>
      <w:lvlJc w:val="left"/>
      <w:pPr>
        <w:ind w:left="810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43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0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3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180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55">
    <w:name w:val="Заголовок 3"/>
    <w:basedOn w:val="854"/>
    <w:next w:val="855"/>
    <w:link w:val="859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56">
    <w:name w:val="Основной шрифт абзаца"/>
    <w:next w:val="856"/>
    <w:link w:val="854"/>
    <w:uiPriority w:val="1"/>
    <w:unhideWhenUsed/>
  </w:style>
  <w:style w:type="table" w:styleId="857">
    <w:name w:val="Обычная таблица"/>
    <w:next w:val="857"/>
    <w:link w:val="854"/>
    <w:uiPriority w:val="99"/>
    <w:semiHidden/>
    <w:unhideWhenUsed/>
    <w:qFormat/>
    <w:tblPr/>
  </w:style>
  <w:style w:type="numbering" w:styleId="858">
    <w:name w:val="Нет списка"/>
    <w:next w:val="858"/>
    <w:link w:val="854"/>
    <w:uiPriority w:val="99"/>
    <w:semiHidden/>
    <w:unhideWhenUsed/>
  </w:style>
  <w:style w:type="character" w:styleId="859">
    <w:name w:val="Заголовок 3 Знак"/>
    <w:next w:val="859"/>
    <w:link w:val="855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60">
    <w:name w:val="apple-converted-space"/>
    <w:basedOn w:val="856"/>
    <w:next w:val="860"/>
    <w:link w:val="854"/>
  </w:style>
  <w:style w:type="paragraph" w:styleId="861">
    <w:name w:val="Обычный (веб)"/>
    <w:basedOn w:val="854"/>
    <w:next w:val="861"/>
    <w:link w:val="85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2">
    <w:name w:val="Гиперссылка"/>
    <w:next w:val="862"/>
    <w:link w:val="854"/>
    <w:uiPriority w:val="99"/>
    <w:unhideWhenUsed/>
    <w:rPr>
      <w:color w:val="0000ff"/>
      <w:u w:val="single"/>
    </w:rPr>
  </w:style>
  <w:style w:type="paragraph" w:styleId="863">
    <w:name w:val="Верхний колонтитул"/>
    <w:basedOn w:val="854"/>
    <w:next w:val="863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>
    <w:name w:val="Верхний колонтитул Знак"/>
    <w:next w:val="864"/>
    <w:link w:val="863"/>
    <w:uiPriority w:val="99"/>
    <w:rPr>
      <w:sz w:val="22"/>
      <w:szCs w:val="22"/>
      <w:lang w:eastAsia="en-US"/>
    </w:rPr>
  </w:style>
  <w:style w:type="paragraph" w:styleId="865">
    <w:name w:val="Нижний колонтитул"/>
    <w:basedOn w:val="854"/>
    <w:next w:val="865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>
    <w:name w:val="Нижний колонтитул Знак"/>
    <w:next w:val="866"/>
    <w:link w:val="865"/>
    <w:uiPriority w:val="99"/>
    <w:rPr>
      <w:sz w:val="22"/>
      <w:szCs w:val="22"/>
      <w:lang w:eastAsia="en-US"/>
    </w:rPr>
  </w:style>
  <w:style w:type="character" w:styleId="867">
    <w:name w:val="Просмотренная гиперссылка"/>
    <w:next w:val="867"/>
    <w:link w:val="854"/>
    <w:uiPriority w:val="99"/>
    <w:semiHidden/>
    <w:unhideWhenUsed/>
    <w:rPr>
      <w:color w:val="954f72"/>
      <w:u w:val="single"/>
    </w:rPr>
  </w:style>
  <w:style w:type="paragraph" w:styleId="868">
    <w:name w:val="ConsPlusNormal"/>
    <w:next w:val="868"/>
    <w:link w:val="854"/>
    <w:pPr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869">
    <w:name w:val="Текст выноски"/>
    <w:basedOn w:val="854"/>
    <w:next w:val="869"/>
    <w:link w:val="8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0">
    <w:name w:val="Текст выноски Знак"/>
    <w:next w:val="870"/>
    <w:link w:val="869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  <w:style w:type="paragraph" w:styleId="874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hyperlink" Target="https://login.consultant.ru/link/?req=doc&amp;base=LAW&amp;n=466787" TargetMode="External"/><Relationship Id="rId12" Type="http://schemas.openxmlformats.org/officeDocument/2006/relationships/hyperlink" Target="https://login.consultant.ru/link/?req=doc&amp;base=LAW&amp;n=480453" TargetMode="External"/><Relationship Id="rId13" Type="http://schemas.openxmlformats.org/officeDocument/2006/relationships/hyperlink" Target="https://login.consultant.ru/link/?req=doc&amp;base=LAW&amp;n=471024" TargetMode="External"/><Relationship Id="rId14" Type="http://schemas.openxmlformats.org/officeDocument/2006/relationships/hyperlink" Target="https://login.consultant.ru/link/?req=doc&amp;base=LAW&amp;n=399487" TargetMode="External"/><Relationship Id="rId15" Type="http://schemas.openxmlformats.org/officeDocument/2006/relationships/hyperlink" Target="https://login.consultant.ru/link/?req=doc&amp;base=RLAW020&amp;n=185363" TargetMode="External"/><Relationship Id="rId16" Type="http://schemas.openxmlformats.org/officeDocument/2006/relationships/hyperlink" Target="https://login.consultant.ru/link/?req=doc&amp;base=RLAW020&amp;n=19716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Timofeeva</dc:creator>
  <cp:lastModifiedBy>Mashukova</cp:lastModifiedBy>
  <cp:revision>19</cp:revision>
  <dcterms:created xsi:type="dcterms:W3CDTF">2023-06-27T07:44:00Z</dcterms:created>
  <dcterms:modified xsi:type="dcterms:W3CDTF">2024-12-26T05:23:11Z</dcterms:modified>
  <cp:version>983040</cp:version>
</cp:coreProperties>
</file>