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005" w:type="dxa"/>
        <w:tblCellSpacing w:w="0" w:type="dxa"/>
        <w:tblInd w:w="4962" w:type="dxa"/>
        <w:tblLayout w:type="autofit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0005"/>
      </w:tblGrid>
      <w:tr>
        <w:tblPrEx/>
        <w:trPr>
          <w:tblCellSpacing w:w="0" w:type="dxa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05" w:type="dxa"/>
            <w:vAlign w:val="top"/>
            <w:textDirection w:val="lrTb"/>
            <w:noWrap w:val="false"/>
          </w:tcPr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УТВЕРЖДЁН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постановлением администрации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Артёмовского городского округа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  <w:p>
            <w:pPr>
              <w:pStyle w:val="854"/>
              <w:ind w:firstLine="567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от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АДМИНИСТРАТИВНЫЙ РЕГЛАМЕНТ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предоставления муниципальной услуги «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val="ru-RU"/>
        </w:rPr>
        <w:t xml:space="preserve">на территории Артемовского городского округа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54"/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1. О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бщие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положения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highlight w:val="none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1.1. Предмет регулирования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74"/>
        <w:ind w:left="0" w:firstLine="540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Административный регламент предоставления муниципальной услуги 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(далее – 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егламент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муниципальная услуга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разработан в целях повышения качества и доступности предоставления государственной (муниципальной</w:t>
      </w:r>
      <w:r>
        <w:rPr>
          <w:rFonts w:ascii="Arial" w:hAnsi="Arial" w:eastAsia="Arial" w:cs="Arial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определяет стандарт, сроки и последовательность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административных процедур (действий) при предоставлении муниципальной услуги, требования к порядку их выполнени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я, порядок, формы контроля за исполнением Регламента, досудебный (внесудебный) порядок обжалования решений и действий (бездействия) администрации Артемовского городского округа (далее - администрация), предоставляющей муниципальную услугу, должностного лиц</w:t>
      </w:r>
      <w:r>
        <w:rPr>
          <w:rFonts w:ascii="Times New Roman" w:hAnsi="Times New Roman"/>
          <w:sz w:val="28"/>
          <w:szCs w:val="28"/>
          <w:lang w:eastAsia="ru-RU"/>
        </w:rPr>
        <w:t xml:space="preserve">а администрации, предоставляющего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муниципальную услугу, либо работника многофункционального центра.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Настоящий Административный регламент</w:t>
        <w:br/>
        <w:t xml:space="preserve">регулирует отношения возникающие на основании</w:t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</w:p>
    <w:p>
      <w:pPr>
        <w:pStyle w:val="874"/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hyperlink r:id="rId10" w:tooltip="https://login.consultant.ru/link/?req=doc&amp;base=LAW&amp;n=2875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Конституци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и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Российской Федерации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r>
    </w:p>
    <w:p>
      <w:pPr>
        <w:ind w:firstLine="708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Жилищного </w:t>
      </w:r>
      <w:hyperlink r:id="rId11" w:tooltip="https://login.consultant.ru/link/?req=doc&amp;base=LAW&amp;n=466787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кодекса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Российской Федерации;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ind w:firstLine="708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Налогового кодекса Российской Федерации;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pStyle w:val="874"/>
        <w:ind w:left="0" w:right="0" w:firstLine="709"/>
        <w:jc w:val="both"/>
        <w:spacing w:before="0" w:beforeAutospacing="0" w:after="0" w:line="360" w:lineRule="auto"/>
        <w:rPr>
          <w:rFonts w:ascii="Times New Roman" w:hAnsi="Times New Roman" w:cs="Times New Roman"/>
          <w:b w:val="0"/>
          <w:bCs w:val="0"/>
          <w:i w:val="0"/>
          <w:strike w:val="0"/>
          <w:sz w:val="16"/>
          <w:szCs w:val="16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Федеральн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ого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hyperlink r:id="rId12" w:tooltip="https://login.consultant.ru/link/?req=doc&amp;base=LAW&amp;n=480453" w:history="1"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</w:rPr>
          <w:t xml:space="preserve">закон</w:t>
        </w:r>
        <w:r>
          <w:rPr>
            <w:rFonts w:ascii="Times New Roman" w:hAnsi="Times New Roman" w:eastAsia="Times New Roman" w:cs="Times New Roman"/>
            <w:b w:val="0"/>
            <w:i w:val="0"/>
            <w:strike w:val="0"/>
            <w:color w:val="0000ff"/>
            <w:sz w:val="28"/>
            <w:szCs w:val="28"/>
            <w:lang w:val="ru-RU"/>
          </w:rPr>
          <w:t xml:space="preserve">а</w:t>
        </w:r>
      </w:hyperlink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от 27.07.2010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№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210-ФЗ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16"/>
          <w:szCs w:val="16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16"/>
          <w:szCs w:val="16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1.2. Круг заявителей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1.2.1.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Заявителями на получение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являются физические лица – малоимущие и другие категории граждан, определенные федеральным законом, указом Президента Российской Федерации или законом субъекта Российской Федерации, нуждающиеся в жилых помещениях (далее – Заявитель)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1.2.2.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Интересы заявителей, указанных в пункте 1.2 настоящего Регламента, могут представлять лица, обладающие соответствующими полномочиями (далее – представитель).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8"/>
        <w:jc w:val="both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1.3.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Требования к порядку информирования о пред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оставлении муниципальной услуги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Информирование о порядке предоставления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осуществляется: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непосредственно при личном приеме заявителя в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или многофункциональном центре предоставления государственных и муниципальных услуг (далее – многофункциональный центр)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телефону в отделе учета и распределения жилья администрации Артемовского городского округа или многофункциональном центре;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письменно, в том числе посредством электронной почты, факсимильной связи;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посредством размещения в открытой и доступной форме информации: </w:t>
        <w:tab/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(https://www.gosuslugi.ru/)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– ЕПГУ);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официальном сайте Артемовского городского округа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</w:rPr>
        <w:t xml:space="preserve">https://artemokrug.gosuslugi.ru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посредством размещения информации на информационных стендах администрации Артемовского городского округа или многофункционального центра.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Информирование осуществляется по вопросам, касающимся: </w:t>
        <w:tab/>
        <w:t xml:space="preserve">способов подачи заявления о предоставлении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адресов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многофункциональных центров, обращение в которые необходимо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справочной информации о работе отдела учета и распределения жилья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и услуг, которые являются необходимыми и обязательными для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и сроков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получения сведений о ходе рассмотрения заявления о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услуги и о результатах предоставления муниципальной услуги;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досудебного (внесудебного) обжалования действий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бездействия) должностных лиц, и принимаемых ими решений при предоставлении муниципальной услуги.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Получение информации по вопросам предоставления муниципальной услуги и услуг, которые являются необходимыми и обязательными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для предоставления муниципальной услуги осуществляется бесплатно.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При устном обращении Заявителя (лично или по телефону)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должностное лицо отдела учета и распределения жилья администрации Артемовского городского округа,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сам.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Если должностное лицо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изложить обращение в письменной форме;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назначить другое время для консультаций.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Должностное лицо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 впр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Продолжительность информирования по телефону не должна превышать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10 минут.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Информирование осуществляется в соответствии с графиком приема граждан.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 письменному обращению должностное лицо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ответственный за предоставление муниципальной услуги, подробно в письменной форме разъясняет гражданину сведения по вопросам, указанным в пункте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настоящего Регламента в порядке, установленном Федеральным законом от 2 мая 2006 г. № 59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ФЗ «О порядке рассмотрения обращений граждан Российской Федерации» (далее – Федеральный закон № 59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ФЗ).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1.3.5.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2011 года №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861.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ты, регистрацию или авторизацию заявителя или предоставление им персональных данных.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1.3.6.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официальном сайте администрации Артемовского городского округа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 следующая справочная информация: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месте нахождения и графике работы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отдела учета и распределения жилья, ответственных за предоставление муниципальной услуги, а также многофункциональных центров; справочные телефоны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ответственных за предоставление муниципальной услуги, в том числе номер телефона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автоинформатора (при наличии); адрес официального сайта, а также электронной почты и (или) формы обратной связи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сети «Интернет».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1.3.7. В залах ожидания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размещаются нормативные правовые акты, регулирующие поря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док предоставления муниципальной) услуги, в том числе Регламент, которые по требованию заявителя предоставляются ему для ознакомления.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1.3.8. Размещение информации о порядке предоставления муниципальной ус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 учетом требований к информированию, установленных 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егламентом.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1.3.9.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отделе учета и распределения жилья 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при обращении заявителя лично, по телефону посредством электронной почты.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2. С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тандарт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предоставления муниципальной услуги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 Наименование муниципальной услуги: 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предоставляется администрацией Артемов</w:t>
      </w:r>
      <w:r>
        <w:rPr>
          <w:rFonts w:ascii="Times New Roman" w:hAnsi="Times New Roman"/>
          <w:sz w:val="28"/>
          <w:szCs w:val="28"/>
          <w:lang w:eastAsia="ru-RU"/>
        </w:rPr>
        <w:t xml:space="preserve">ского городского округа в лице </w:t>
      </w:r>
      <w:r>
        <w:rPr>
          <w:rFonts w:ascii="Times New Roman" w:hAnsi="Times New Roman"/>
          <w:sz w:val="28"/>
          <w:szCs w:val="28"/>
          <w:lang w:eastAsia="ru-RU"/>
        </w:rPr>
        <w:t xml:space="preserve">отдела учета и распределения жилья администрации Артемовского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Уполномоченный орган).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2.3. При предоставлении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 взаимодействует с: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2.3.1. Федеральной налоговой службой в части по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лучения сведений из Единого государственного реестра записей актов гражданского состояния о рождении, о заключении брака; получение сведений из Единого государственного реестра юридических лиц, в случае подачи заявления представителем (юридическим лицом);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2.3.2. Министерством внутренних дел Российской Федерации в части получения сведений, подтвер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впоследствии реабилитированного.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2.3.3. Пенсионным Фондом Российской Федерации в части проверки соответствия фамильно</w:t>
      </w:r>
      <w:r>
        <w:rPr>
          <w:rFonts w:ascii="Arial" w:hAnsi="Arial" w:eastAsia="Arial" w:cs="Arial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2.3.4. Федеральной службы государственной регистрации, кадастра и карт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ографии в части получения сведений из Единого государственного реестра недви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жимости на имеющиеся объекты недвижимости.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2.4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При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Уполномоченному органу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запрещается требовать от заявителя осуществления действий, в том числе согласований, необходимых 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ля получения муниципальной</w:t>
      </w:r>
      <w:r>
        <w:rPr>
          <w:rFonts w:ascii="Arial" w:hAnsi="Arial" w:eastAsia="Arial" w:cs="Arial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одимыми и обязательными для предоставления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2.5.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Описание результата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Результатом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является: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2.5.1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Решение о предоставлении муниципальной услуги по форме, согласно Приложению № 1 к настоящему Регламенту (для цели обращения «Постановка на учет граждан, нуждающихся в предоставлении жилого помещения»)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2.5.2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Проект Договора социального найма жилого помещения, согласно Приложению № 5 к настоящему Административному регламенту.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2.5.3.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Решение об отказе в предоставлении муниципальной услуги по форме, согласно Приложению № 3 к настоящему Регламенту.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2.6. Срок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с учетом необходимости обращения в организации, участвующие в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срок приостановления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срок выдачи (направления) документов, являющихся результатом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течение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25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рабочих дней со дня регистрации заявления и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направляет заявителю способом указанном в заявлении один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 результатов, указанных в пункте 2.5 Регламента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2.7.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Нормативные правовые акты, регулирующие предоставление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Перечень нормативных правовых актов, регулирующих предоставление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(с указанием их реквизитов и источников официального опубликования), в федеральной государственной информационной системе «Федеральный реестр государственных и муниципальных услуг (функций)» и на ЕПГУ.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2.8. Исчерпывающий перечень документов и сведений, необходимых в соответствии с нормативными правовыми актами 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и услуг, которые являются необходимыми и обязательными для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подлежащих представлению заявителем, способы их получения заявителем, в том числе в электронной форме, порядок их представления.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получения муниципальной услуги заявитель представляет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Заявление о предоставлении муниципальной услуги по форме, согласно Приложению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настоящему Регламенту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иной форме.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форме электронного документа в личном кабинете на ЕПГУ;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дополнительно на бумажном носителе в виде расп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ечатанного экземпляра электронного документа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многофункциональном центре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2.8.2.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Документ, удостоверяющий личность заявителя, представителя.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аутентификации (далее – ЕСИА).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документ, подтверждающий полномочия заявител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документ, подтверждающий полномочия заявителя выдано нотариусом – должен быть подписан усиленной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квалификационной электронной подписью нотариуса, в иных случаях – подписанный простой электронной подписью.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  <w:t xml:space="preserve">2.8.3. Документы, удостоверяющие личность членов семьи, достигших 14 летнего возраста.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2.8.4.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Документы, подтверждающие родство: свидетельство о рождении,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свидетельство о заключении брака, справка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 заключении брака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свидетельство о расторжении брака,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свидетельства о государственной регистрации актов гражданского состояния, выданные компетентными органами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ностранного государства и их нотариально удостоверенный перевод на русский язык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их наличии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свидетельства об усыновлении, выданные органами записи актов гражданского состояния или консульскими учреждениями Российской Федерации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их наличии, копия вступившего в законную силу решения соответствующего суда о признании гражданина членом семьи заявителя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наличии такого решения).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Свидетельства о перемене фамилии, имени, отчества (при их наличии).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2.8.5.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Договор найма жилого помещения </w:t>
      </w:r>
      <w:r>
        <w:rPr>
          <w:rFonts w:ascii="PT Sans" w:hAnsi="PT Sans" w:eastAsia="PT Sans" w:cs="PT Sans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2.8.6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Правоустанавливающие документы на жилое помещение –в случае, если право заявителя или членов семьи заявителя на жилое помещение не зарегистрировано в Едином государственном реестре недвижимости.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2.8.7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Обязательство от заявителя и всех совершеннолетних членов семьи об освобождении жилого помещения, предоставленного по договору социального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найма – в случае, если планируется освободить занимаемое жилое помещение после предоставления нового жилого помещения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2.8.8. Медицинское заключение, подтверждающее наличие тяжелой формы хронического заболевания –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ьной, страдающий тяжелой формой хронического заболевания.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2.9.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Заявления и прилагаемые документы, указанные в пункте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Административного регламента, направляются (подаются) 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Уполномоченный орган в электронной форме путем заполнения формы запроса через личный кабинет на ЕПГУ.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2.10. 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которые находятся в распоряжении администрации Артемовского городского округа и иных органов, участвующих в предоставлении муниципальных услуг.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иных органов,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участвующих в предоставлении муниципальной услуги в случае обращения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2.10.1.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из Единого государственного реестра записей актов гражданского состояния о рождении, о заключении брака;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2.10.2. Проверка соответствия фамильно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именной группы, даты рождения, пола и СНИЛС;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2.10.3. Сведения, подтверждающие действительность паспорта гражданина Российской Федерации;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2.10.4. Сведения, подтверждающие место жительства, сведения из Единого государственного реестра недвижимости об объектах недвижимости;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сведения из Единого государственного реестра юридических лиц;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2.10.5.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Сведения из Единого государ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ственного реестра индивидуальных предпринимателей.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При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запрещается требовать от заявителя: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лением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2.11.2. Представления документов и информации, которые в соответствии с нормативными правовыми актами Российской Федерации и Приморского края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муниципальными правовыми актами администрации Артемовского городского округа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находятся в распоряжении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предоставляющих муниципальную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 статьи 7 Федерального закона от 27 июля 2010 года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 «Об организации предоставления государственных и муниципальных услуг» (далее – Федеральный закон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ФЗ);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либо в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за исключением следующих случаев: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нали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услуги и не включенных в представленный ранее комплект документов;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услуги, либо в предост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авлении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отдела учета и распределения жилья администрации Артемовского городского округа, служащего, рабо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тника многофункционального центра, работника организации, предусмотренной частью 1.1 статьи 16 Федерального закона          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ФЗ, при первоначальном отказе в приеме документов, необхо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димых для предоставления государственной (муниципальной) услуги, либо в предоставлении государственной (муниципальной) услуги, о чем в письменном виде за подписью руководителя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руководителя многофункционального центра при первоначальном отказе в приеме документов, необходимых для предоставления государственной (муниципальной) услуги, либо руководителя организации, предусмотренной частью 1.1 статьи 16 Федерального закона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ФЗ, уведомляется заявитель, а также приносятся извинения за доставленные неудобства.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2.12. Исчерпывающий перечень оснований для отказа в приеме документов, необходимых 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Основаниями для отказа в приеме к рассмотрению документов, необходимых для предоставления муниципальной услуги, являются: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2.12.1. Запрос о предоставлении услуги подан в орган местного самоуправления или организаци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ю, в полномочия которых не входит предоставление 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2.12.2. Неполное заполнение обязательных полей в форме запроса о предоставлении услуги (недостоверное, неправильное);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2.12.3. Представление неполного комплекта документов;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2.12.4. Представленные документы утратили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2.12.5. Представленные документы содержат подчистки и исправления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текста, не заверенные в порядке, установленном законодательством Российской Федерации;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2.12.7. Представл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2.12.8. Заявление подано лицом, не имеющим полномочий представлять ин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тересы заявителя.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2.13.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Основания для отказа в предоставлении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2.13.1.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 (сведения), представленные заявителем, противоречат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документам (сведениям), полученным в рамках межведомственного взаимодействия;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2.13.2. Представленными документами и сведениями не подтверждается право гражданина в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жилого помещения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2.14.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Оснований для приостановления предоставления муниципальной услуги законодательством Российской Федерации не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предусмотрено.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2.15. Перечень услуг, которые являются необходимыми и обязательными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необходимые и обязательные для предоставления муниципальной услуги, отсутствуют.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2.16. Порядок, размер и основания взимания государственной пошлины или иной оплаты, взимаемой за предоставление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Предоставление муниципальной услуги осуществляется бесплатно.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2.17. Порядок, размер и основания взимания платы за предоставление услуг, которые являются необходимыми и обязательными для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включая информацию о методике расчета размера такой платы.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необходимые и обязательные для предоставления муниципальной услуги, отсутствуют.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2.18. Максимальный срок ожидания в очереди при подаче запроса о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и при получении результата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или многофункциональном центре составля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ет не более 15 минут.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2.19. Срок и порядок регистрации запроса заявителя о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в электронной форме.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Срок регистрации заявления о предоставлении муниципальной услуги подлежат регистрации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Уполномоченном органе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течение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рабочего дня со дня получения заявления и документов, необходимых для предоставления муниципальной услуги.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наличия оснований для отказа в приеме документов, необходимых для предоставления муниципальной услуги, 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казанных в пункте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2.12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Регламента,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решение об отказе в приеме документов, необходимых для предоставления муниципальной услуги по форме, приведенной в Приложении № 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 настоящему Регламенту.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2.20. Требования к помещениям, в которых предоставляется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муниципальная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услуга.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а также выдача результатов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должно обеспечивать удобство для граждан с точки зрения пешеходной доступности от остановок общественного транспорта.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парковки специальных автотранспортных средств инвалидов на стоянке (парковке)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ревозящих таких инвалидов и (или) детей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инвалидов.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Федерации о социальной защите инвалидов.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наименование;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местонахождение и юридический адрес;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режим работы;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график приема;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ера телефонов для справок.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Помещения, в которых предоставляется государственная (муниципальная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услуга, должны соответствовать санитарно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эпидемиологическим правилам и нормативам.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Помещения, в которых предоставляется государственная (муниципальная) услуга, оснащаются: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противопожарной системой и средствами пожаротушения;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системой оповещения о возникновении чрезвычайной ситуации;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средствами ок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азания первой медицинской помощи; туалетными комнатами для посетителей.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ными стендами.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Места для заполнения заявлений оборудуются стульями, столами (стойками), б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ланками заявлений, письменными принадлежностями.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Места приема Заявителей оборудуются информационными табличками (вывесками) с указанием: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номера кабинета и наименования отдела;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фамилии, имени и отчества (последнее – при наличии), должности ответственного ли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ца за прием документов;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графика приема Заявителей.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нтером) и копирующим устройством.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наличии) и должности.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предоставлении муниципальной услуги инвалидам обеспечиваются: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беспрепятственного доступа к объекту (зданию, помещению), в котором предоставляется государственная (муниципальная) услуга;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том числе с использование кресла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коляски;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которых предоставляется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муниципальная услуга, и к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услуге с учетом ограничений их жизнедеятельности;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точечным шрифтом Брайля;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допуск сурдопереводчика и тифлосурдопереводчика;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допуск собаки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оказание инвалидам помощи в преодолении барьеров, мешающих получению ими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муниципальных услуг наравне с другими лицами.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2.21. Показатели доступности и качества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услуги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Основными показателями доступности предоставления муниципальной  услуги являются: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ях общего пользования (в том числе в сети «Интернет»), средствах массовой информации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получения заявителем уведомлений о предоставлении муниципальной услуги с помощью ЕПГУ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получения информации о ходе предоставления муниципальной услуги, в том числе с использованием информационно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коммуникационных технологий.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2.22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Основными показателями качества предоставления муниципальной услуги являются: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егламентом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минимально возможное количество взаимодействий гражданина с должностными лицами, участвующими в предоставлении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отсутствие нарушений установленных сроков в процессе предоставления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отсу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тствие заявлений об оспаривании решений, действий (бездействия)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его должностных лиц, принимаемых (совершенных) при предоставлении муниципальной услуги, по итогам рассмотрения которых вынесены решения об удовлет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ворении (частичном удовлетворении) требований заявителей.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2.23. Иные требования, в том числе учитывающие особенности предоставления муниципальной</w:t>
      </w:r>
      <w:r>
        <w:rPr>
          <w:rFonts w:ascii="Arial" w:hAnsi="Arial" w:eastAsia="Arial" w:cs="Arial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2.24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аполняет заявление о предоставлении муниципальной услуги с использованием интерактивной формы в электронном виде.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Заполненное заявление о предоставлении муниципальной услуги отправляется заявителем вместе с прикрепленным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электронными образами документов, необходимыми для предоставления муниципальной услуги,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При авторизации в ЕСИА заявление о предоставлении муниципальной услуги считается подписанным простой элект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ронной подписью заявителя, представителя, уполномоченного на подписание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Результаты предоставления муниципальной услуги, указанные в пункте 2.5 настоящего Регламента, направляются заявителю, представителю в лич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ный кабинет на ЕПГУ 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 случае направления заявления посредством ЕПГУ.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направления заявления посре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2.25.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Электронные документы представляются в следующих форматах: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xml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формализованных документов;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doc, docx, odt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 с текстовым содержанием, не включающим формулы (за исключением документов, указанных в подпункте «в» настоящего пункта);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xls, xlsx, ods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документов, содержащих расчеты;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pdf, jpg, jpeg, png, bmp, tiff 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zip, rar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– для сжатых документов в один файл;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sig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– для открепленной усиленной квалифицированной электронной подписи.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ии оригинала документа в разрешении 300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500 dpi (масштаб 1:1) с использованием следующих режимов: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«черно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белый» (при отсутствии в документе графических изображений и (или) цветного текста);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«оттенки серого» (при наличии в документе графических изображений,</w:t>
        <w:br/>
        <w:t xml:space="preserve">отличных от цветного графического изображения);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сохранением всех аутентичных признаков подлинности, а именно: графической подписи лица, печати, углового штампа бланка;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Электронные документы должны обеспечивать: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возможность идентифицировать документ и количество листов в документе;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Документы, подлежащие представлению в форматах xls, xlsx ил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ods, формируются в виде отдельного электронного документа.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left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3.1. Исчерпывающий перечень административных процедур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Предоставление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включает в себя следующие административные процедуры: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проверка документов и регистрация заявления;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– СМЭВ)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рассмотрение документов и сведений;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принятие решения;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выдача результата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внесение результата муниципальной услуги в реестр юридически значимых записей.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3.2.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Перечень административных процедур (действий) при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 услуг в электронной форме.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предоставлении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электронной форме заявителю обеспечиваются: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информации о порядке и сроках предоставления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заявления;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Уполномоченным органом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заявления и иных документов, необходимых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результата предоставления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сведений о ходе рассмотрения заявления;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осуществление оценки качества предоставления муниципальной 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досудебное (внесудебно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е) обжалование решений и действий (бездействия)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либо действия (бездействие) должностных лиц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предоставляющего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муниципальную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услугу, либо муниципального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служащего.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3.3.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Порядок осуществления административных процедур (действий) в электронной форме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либо иной форме.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Форматно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логическая проверка сформированного заявления осуществляется после заполнения заявителем каждого из полей электронной формы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выявлении некорректно заполненного поля электронной формы заявления заявитель уведомляется о характере выявленной оши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бки и порядке ее устранения посредством информационного сообщения непосредственно в электронной форме заявления.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формировании заявления заявителю обеспечивается: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возможность копирования и сохранения заявления и иных документов, указанных в пунктах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2.8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–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2.10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настоящего Регламента,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возможность печати на бумажном носителе копии электронной формы заявления;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торного ввода значений в электронную форму заявления;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ствующих в ЕСИА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 заявлений – в течение не менее 3 месяцев.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посредством ЕПГУ.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3.4.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обес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прием документов, необходимых для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и направление заявителю электронного сообщения о поступлении заявления;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3.5. Электронное заявление становится доступным для должностного лица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ответственного за прием и регистрацию заявления (далее – ответственное должностное лицо), в государственной информационной системе, используемой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Уполномоченным органом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для предоставления муниципальной услуги (далее – ГИС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Ответственное должностное лицо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проверяет наличие электронных заявлений, поступивших с ЕПГУ, с периодом не реже 2 раз в день;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рассматривает поступившие заявления и приложенные образы документов (документы);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производит действия в соответствии с пунктом 3.4 настоящего Рег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3.6. Заявителю в качестве результата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обеспечивается возможность получения документа: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направленного заявителю в личный кабинет на ЕПГУ;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3.7. Получение информации о ходе рассмотрения заявления и о результате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предо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ставлении муниципальной услуги в электронной форме заявителю направляется: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уведомление о приеме и регистрации заявления и иных документов, необходимых для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уведомление о результатах рассмотрения документов, необходимых для предоставления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отказ в предоставлении муниципальной услуги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3.8. Оценка качества предоставления муниципальной услуги.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Оценка качества предоставления муниципальной услу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ги осуществляется в соответствии с распоряжением администрации Артемовского городского округа от 30.12.2011 № 721-ра «Об утверждении методики проведения мониторинга качества предоставления муниципальной услуги на территории Артемовского городского округа».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3.9. Заявителю обеспечивается возможность направления жалобы на решения, действия или бездействие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должностного лица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либо муниципального служащего в соответс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твии со статьей 11.2 Федерального закона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вия), совершенных при предоставлении государственных и муниципальных услуг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3.10. Порядок исправления допущенных опечаток и ошибок в выданных в результате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услуги документах.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выявления опечаток и ошибок заявитель вправе обратиться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 заявлением с приложением документов, указанных в пункте 2.8. настоящего Регламента.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3.11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Основания отказа в приеме заявления об исправлении опечаток и ошибок указаны в пункте 2.12 настоящего Регламента.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3.12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3.13.1. Заявитель при обнаружении опечаток и ошибок в документах, выданных в результате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предоставления муниципальной услуги, обращается лично 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 заявлением о необходимости исправления опечаток и ошибок, в котором содержится указание на их описание.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3.13.2.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при получении заявления, 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3.13.3.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обеспечив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ает устранение опечаток и ошибок в документах, являющихся результатом предоставления муниципальной услуги.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3.13.4. Срок устранения опечаток и ошибок не должен превышать 3 (трех) рабочих дней с даты регистрации заявления, указанного в подп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ункте 3.13.1 пункта 3.13 настоящего подраздела.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. Формы контроля за исполнением административного регламента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тавлению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услуги, а также принятием ими решений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4.1. Текущий контроль за соблюдением и исполнением настоящего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уполномоченными на осуществление контроля за предоставлением муниципальной услуги.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Текущий контроль осуществляется путем проведения проверок: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решений о предоставлении (об отказе в предоставлении) государственной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выявления и устранения нарушений прав граждан;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4.2.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порядок и формы контроля за полнотой и качеством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4.3.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Контроль за полнотой и качеством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включает в себя проведение плановых и внеплановых проверок.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4.4. Плановые проверки осуществляются на основании годовых планов работы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утверждаемых руководителем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администрации Артемовского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плановой проверке полноты и качества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предоставления государственной (муниципальной) услуги контролю подлежат: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соблюдение сроков предоставления муниципальной услуги;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соблюдение положений настоящего Регламента;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правильность и обоснованность принятого решения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 отказе в предоставлении муниципальной услуги.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Основанием для проведения внеплановых проверок являются: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ных правовых актов Российской Федерации, нормативных правовых актов Приморского края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нормативных правовых актов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обращения граждан и юридических лиц на нарушения законодательства, в том числе на качество предоставления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4.5. Ответственность должностных лиц за решения и действия (бездействие), принимаемые (осуществляемые) ими в ходе предоставления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результатам проведенных проверок в случае выявления нарушений п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оложений настоящего Регламента, нормативных правовых актов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Приморского края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и нормативных правовых актов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существляется привлечение виновных лиц к ответственности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закрепляется в их должностных регламентах в соответствии с требованиями законодательства.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4.6. Требования к порядку и формам контроля за предоставлением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 том числе со стороны граждан, их объединений и организаций.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Граждане, их объединения и организации имеют право осуществлять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контроль за предоставлением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Граждане, их объединения и организации также имеют право: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направлять замечания и предложен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ия по улучшению доступности и качества предоставления муниципальной услуги;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вносить предложения о мерах по устранению нарушений настоящего Регламента.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4.7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Должностные лица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Информация о результатах рассмотрения замечаний и предложений граждан, их объединений и организац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ий доводится до сведения лиц, направивших эти замечания и предложения.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муниципальную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услугу, а также их должностных лиц,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муниципальных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служащих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5.1. Заявитель имеет право на обжалование решения и (или) действий (бездействия)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должностных лиц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муниципальных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служащих, многофункционального центра, а также работника многофункционального центра при предоставлении государственной (муниципальной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досудебном (внесудебном) порядке (далее – жалоба).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5.2. Администрация Артемовского городского округа,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– на решение и (или) действия (бездействие) должностного лица, руководител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на решение и действия (бездействие)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руководителя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вышестоящий орган на решение и (или) действия (бездействие) должностного лица, руководителя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учредителю многофункционального центра – на решение и действия (бездействие) многофункционально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 центра.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5.3.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ЕПГУ, а также предоставляется в устной форме по телефону и (или) 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 личном приеме либо в письменной форме почтовым отправлением по адресу, указанному заявителем (представителем).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5.4.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</w:t>
      </w:r>
      <w:r>
        <w:rPr>
          <w:rFonts w:ascii="Arial" w:hAnsi="Arial" w:eastAsia="Arial" w:cs="Arial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Порядок досудебного (внесудебного) обжалования решений и действий (бездействия)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Уполномоченного органа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предоставляющего муниципальную</w:t>
      </w:r>
      <w:r>
        <w:rPr>
          <w:rFonts w:ascii="Arial" w:hAnsi="Arial" w:eastAsia="Arial" w:cs="Arial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услугу, а также его должностных лиц регулируется: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Федеральным законом «Об организации предоставления государственных и муниципальных услуг»;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лении государственных и муниципальных услуг».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center"/>
        <w:spacing w:after="0" w:line="36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6. Особенности выполнения административных процедур (действий) в многофункциональных центрах предоставления государственных и муниципальных услуг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6.1. Исчерпывающий перечень административных процедур (действий) при предоставлении муниципальной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услуги, выполняемых многофункциональными центрами.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Многофункциональный центр осуществляет: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информирование заявителей о порядке предоставления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в многофункциональном центре, по иным вопросам, связанным с предоставлением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а также консультирование заявителей о порядке предоставления муниципальной услуги в многофункциональном центре;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выдачу заявителю результата предоставления муниципальной услуги, на бумажном носителе, подтверждающи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 содержание электронных документов, направленных в многофункциональный центр по результатам предоставления муниципальной услуги а также выдача документов, включая составление на бумажном носителе и заверение выписок из информационных сис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тем органов, предоставляющих муниципальных услуг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иные процедуры и действия, предусмотренные Федеральным законом       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210-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соответствии с частью 1.1 статьи 16 Федерального закона № 210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ФЗ для реализации своих функций многофункциональные центры вправе при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влекать иные организации.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6.2. Информирование заявителей.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Информирование заявителя многофункциональными центрами осуществляется следующими способами: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центров;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личном обращении работник многофункционального центра подробно информирует заявителей по интересующим их во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просам в вежливой корректной форме с использованием официально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делового стиля речи.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Ответ на телефонный звонок должен начи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Индивидуальное устное консультирование при обращении заявителя по телефону работник многофункционально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 центра осуществляет не более 10 минут;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изложи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ть обращение в письменной форме (ответ направляется Заявителю в соответствии со способом, указанным в обращении);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назначить другое время для консультаций.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консультировании по письменным обращениям заявителей ответ направляется в письменном виде в срок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есу, указанному в обращении, поступившем в многофункциональный центр в письменной форме.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6.3. Выдача заявителю результата предоставления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муниципальной</w:t>
      </w:r>
      <w:r>
        <w:rPr>
          <w:rFonts w:ascii="Arial" w:hAnsi="Arial" w:eastAsia="Arial" w:cs="Arial"/>
          <w:b w:val="0"/>
          <w:bCs w:val="0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услуги.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наличии в заявлении о предоставлении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 указания о выдаче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результатов оказания услуги через многофункциональный центр,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йствии заключенным между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Уполномоченным органом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многофункциональным центром в порядке, утвержденном Постановлением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797.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Порядок и сроки передачи </w:t>
      </w:r>
      <w:r>
        <w:rPr>
          <w:rFonts w:ascii="Times New Roman" w:hAnsi="Times New Roman"/>
          <w:sz w:val="28"/>
          <w:szCs w:val="28"/>
          <w:lang w:eastAsia="ru-RU"/>
        </w:rPr>
        <w:t xml:space="preserve">Уполномоченным органом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таких документов в многофункциональный центр определяются соглашением о взаимодействии, заключенным ими в порядке, установленном Постановлением №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797.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6.4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Прием заявителей для выдачи документов, являющихся результатом муниципальной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Работник многофункционального центра осуществляет следующие действия: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устанавливает личность зая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вителя на основании документа, удостоверяющего личность в соответствии с законодательством Российской Федерации;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проверяет полномочия представителя заявителя (в случае обращения представителя заявителя);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определяет статус исполнения заявления заявителя в 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Российской Федерации случаях – печати с изображением Государственного герба Российской Федерации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ации);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выдает документы заявителю, при необходимости запрашивает у заявителя подписи за каждый выданный документ;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запрашивает согласие заявителя на участие в смс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опросе для оценки качества предоставленных услуг многофункциональным центром.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PT Sans">
    <w:panose1 w:val="020B0503020203020204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33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10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2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4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6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8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0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2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4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64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3"/>
      <w:numFmt w:val="decimal"/>
      <w:isLgl w:val="false"/>
      <w:suff w:val="tab"/>
      <w:lvlText w:val="%1.%2."/>
      <w:lvlJc w:val="left"/>
      <w:pPr>
        <w:ind w:left="810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43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0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3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180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55">
    <w:name w:val="Заголовок 3"/>
    <w:basedOn w:val="854"/>
    <w:next w:val="855"/>
    <w:link w:val="859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56">
    <w:name w:val="Основной шрифт абзаца"/>
    <w:next w:val="856"/>
    <w:link w:val="854"/>
    <w:uiPriority w:val="1"/>
    <w:unhideWhenUsed/>
  </w:style>
  <w:style w:type="table" w:styleId="857">
    <w:name w:val="Обычная таблица"/>
    <w:next w:val="857"/>
    <w:link w:val="854"/>
    <w:uiPriority w:val="99"/>
    <w:semiHidden/>
    <w:unhideWhenUsed/>
    <w:qFormat/>
    <w:tblPr/>
  </w:style>
  <w:style w:type="numbering" w:styleId="858">
    <w:name w:val="Нет списка"/>
    <w:next w:val="858"/>
    <w:link w:val="854"/>
    <w:uiPriority w:val="99"/>
    <w:semiHidden/>
    <w:unhideWhenUsed/>
  </w:style>
  <w:style w:type="character" w:styleId="859">
    <w:name w:val="Заголовок 3 Знак"/>
    <w:next w:val="859"/>
    <w:link w:val="855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60">
    <w:name w:val="apple-converted-space"/>
    <w:basedOn w:val="856"/>
    <w:next w:val="860"/>
    <w:link w:val="854"/>
  </w:style>
  <w:style w:type="paragraph" w:styleId="861">
    <w:name w:val="Обычный (веб)"/>
    <w:basedOn w:val="854"/>
    <w:next w:val="861"/>
    <w:link w:val="85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2">
    <w:name w:val="Гиперссылка"/>
    <w:next w:val="862"/>
    <w:link w:val="854"/>
    <w:uiPriority w:val="99"/>
    <w:unhideWhenUsed/>
    <w:rPr>
      <w:color w:val="0000ff"/>
      <w:u w:val="single"/>
    </w:rPr>
  </w:style>
  <w:style w:type="paragraph" w:styleId="863">
    <w:name w:val="Верхний колонтитул"/>
    <w:basedOn w:val="854"/>
    <w:next w:val="863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>
    <w:name w:val="Верхний колонтитул Знак"/>
    <w:next w:val="864"/>
    <w:link w:val="863"/>
    <w:uiPriority w:val="99"/>
    <w:rPr>
      <w:sz w:val="22"/>
      <w:szCs w:val="22"/>
      <w:lang w:eastAsia="en-US"/>
    </w:rPr>
  </w:style>
  <w:style w:type="paragraph" w:styleId="865">
    <w:name w:val="Нижний колонтитул"/>
    <w:basedOn w:val="854"/>
    <w:next w:val="865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>
    <w:name w:val="Нижний колонтитул Знак"/>
    <w:next w:val="866"/>
    <w:link w:val="865"/>
    <w:uiPriority w:val="99"/>
    <w:rPr>
      <w:sz w:val="22"/>
      <w:szCs w:val="22"/>
      <w:lang w:eastAsia="en-US"/>
    </w:rPr>
  </w:style>
  <w:style w:type="character" w:styleId="867">
    <w:name w:val="Просмотренная гиперссылка"/>
    <w:next w:val="867"/>
    <w:link w:val="854"/>
    <w:uiPriority w:val="99"/>
    <w:semiHidden/>
    <w:unhideWhenUsed/>
    <w:rPr>
      <w:color w:val="954f72"/>
      <w:u w:val="single"/>
    </w:rPr>
  </w:style>
  <w:style w:type="paragraph" w:styleId="868">
    <w:name w:val="ConsPlusNormal"/>
    <w:next w:val="868"/>
    <w:link w:val="854"/>
    <w:pPr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869">
    <w:name w:val="Текст выноски"/>
    <w:basedOn w:val="854"/>
    <w:next w:val="869"/>
    <w:link w:val="8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0">
    <w:name w:val="Текст выноски Знак"/>
    <w:next w:val="870"/>
    <w:link w:val="869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  <w:style w:type="paragraph" w:styleId="874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hyperlink" Target="https://login.consultant.ru/link/?req=doc&amp;base=LAW&amp;n=466787" TargetMode="External"/><Relationship Id="rId12" Type="http://schemas.openxmlformats.org/officeDocument/2006/relationships/hyperlink" Target="https://login.consultant.ru/link/?req=doc&amp;base=LAW&amp;n=48045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Timofeeva</dc:creator>
  <cp:lastModifiedBy>Mashukova</cp:lastModifiedBy>
  <cp:revision>21</cp:revision>
  <dcterms:created xsi:type="dcterms:W3CDTF">2023-06-27T07:44:00Z</dcterms:created>
  <dcterms:modified xsi:type="dcterms:W3CDTF">2024-12-26T05:36:01Z</dcterms:modified>
  <cp:version>983040</cp:version>
</cp:coreProperties>
</file>