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38765" w14:textId="77777777" w:rsidR="0041371F" w:rsidRPr="006258EF" w:rsidRDefault="0041371F" w:rsidP="0041371F">
      <w:pPr>
        <w:tabs>
          <w:tab w:val="left" w:pos="916"/>
          <w:tab w:val="left" w:pos="1832"/>
          <w:tab w:val="left" w:pos="2748"/>
          <w:tab w:val="left" w:pos="3664"/>
          <w:tab w:val="left" w:pos="4580"/>
          <w:tab w:val="left" w:pos="5387"/>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right"/>
      </w:pPr>
      <w:bookmarkStart w:id="0" w:name="_GoBack"/>
      <w:bookmarkEnd w:id="0"/>
      <w:r w:rsidRPr="006258EF">
        <w:t>Приложение № 1</w:t>
      </w:r>
    </w:p>
    <w:p w14:paraId="14DCC572" w14:textId="2D0ED682" w:rsidR="0041371F" w:rsidRPr="006258EF" w:rsidRDefault="0041371F" w:rsidP="0015589B">
      <w:pPr>
        <w:tabs>
          <w:tab w:val="left" w:pos="916"/>
          <w:tab w:val="left" w:pos="1832"/>
          <w:tab w:val="left" w:pos="2748"/>
          <w:tab w:val="left" w:pos="3664"/>
          <w:tab w:val="left" w:pos="4580"/>
          <w:tab w:val="left" w:pos="5387"/>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right"/>
      </w:pPr>
      <w:r w:rsidRPr="006258EF">
        <w:t xml:space="preserve">к Стандарту внешнего муниципального финансового </w:t>
      </w:r>
      <w:r w:rsidRPr="0015589B">
        <w:t>контроля «</w:t>
      </w:r>
      <w:r w:rsidR="0015589B" w:rsidRPr="0015589B">
        <w:t>Анализ состояния внутреннего финансового аудита, осуществляемого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и подготовка предложений по его совершенствованию</w:t>
      </w:r>
      <w:r w:rsidRPr="0015589B">
        <w:t>»</w:t>
      </w:r>
    </w:p>
    <w:p w14:paraId="748F6114" w14:textId="77777777" w:rsidR="0041371F" w:rsidRPr="00885F21"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85F21">
        <w:rPr>
          <w:sz w:val="28"/>
          <w:szCs w:val="28"/>
        </w:rPr>
        <w:t> </w:t>
      </w:r>
    </w:p>
    <w:p w14:paraId="3B8C4516"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1" w:name="p86"/>
      <w:bookmarkEnd w:id="1"/>
      <w:r w:rsidRPr="006258EF">
        <w:t>Перечень</w:t>
      </w:r>
    </w:p>
    <w:p w14:paraId="0F432A8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258EF">
        <w:t xml:space="preserve">вопросов для оценки организации </w:t>
      </w:r>
      <w:proofErr w:type="gramStart"/>
      <w:r w:rsidRPr="006258EF">
        <w:t>внутреннего</w:t>
      </w:r>
      <w:proofErr w:type="gramEnd"/>
    </w:p>
    <w:p w14:paraId="1EC3F043"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258EF">
        <w:t>финансового аудита</w:t>
      </w:r>
    </w:p>
    <w:p w14:paraId="5DE5050B" w14:textId="77777777" w:rsidR="0041371F" w:rsidRPr="00885F21"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85F21">
        <w:rPr>
          <w:sz w:val="28"/>
          <w:szCs w:val="28"/>
        </w:rPr>
        <w:t> </w:t>
      </w:r>
    </w:p>
    <w:p w14:paraId="35FF548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Отметьте галочкой (V) соответствующий ответ:</w:t>
      </w:r>
    </w:p>
    <w:p w14:paraId="1F59CD14"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531D478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1. Управление и структура внутреннего финансового аудита</w:t>
      </w:r>
    </w:p>
    <w:p w14:paraId="254E59B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49D4A07D"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1.1. Наличие и характеристика правового акта главного администратора бюджетных средств, администратора бюджетных средств об организации внутреннего финансового аудита</w:t>
      </w:r>
    </w:p>
    <w:p w14:paraId="799694B6" w14:textId="50F2C263" w:rsidR="0041371F" w:rsidRPr="006258EF" w:rsidRDefault="0041371F" w:rsidP="00113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1137A1">
        <w:t xml:space="preserve">     </w:t>
      </w:r>
      <w:r w:rsidRPr="006258EF">
        <w:t>____Отсутствие правового акта об организации внутреннего финансового аудита (1 балл).</w:t>
      </w:r>
    </w:p>
    <w:p w14:paraId="20D3F25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____Наличие правового акта главного администратора бюджетных средств, администратора бюджетных средств об организации внутреннего финансового аудита, который не обеспечивает независимость субъекта внутреннего финансового аудита и (или) не содержит единый подход к разработке ведомственного порядка осуществления внутреннего финансового аудита (4 балла).</w:t>
      </w:r>
    </w:p>
    <w:p w14:paraId="7E04E6E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____Наличие правового акта главного администратора бюджетных средств, администратора бюджетных средств об организации внутреннего финансового аудита, который обеспечивает независимость субъекта внутреннего финансового аудита и определяет единый подход к разработке ведомственного порядка осуществления внутреннего финансового аудита (7 баллов).</w:t>
      </w:r>
    </w:p>
    <w:p w14:paraId="1D1BB41E"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4AD9A85B" w14:textId="77777777" w:rsidR="0041371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1.2. </w:t>
      </w:r>
      <w:r>
        <w:t>Закрепление распределения полномочий и ответственности по организации и осуществлению внутреннего финансового аудита</w:t>
      </w:r>
    </w:p>
    <w:p w14:paraId="3253C402" w14:textId="77777777" w:rsidR="0041371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t>____Полномочия по организации и осуществлению внутреннего финансового аудита не закреплены (1 балл).</w:t>
      </w:r>
    </w:p>
    <w:p w14:paraId="52935C23" w14:textId="77777777" w:rsidR="0041371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t>____Полномочия по организации и осуществлению внутреннего финансового аудита закреплены в отдельных должностных регламентах (инструкциях) наряду с основными функциями (обязанностями) (3 балла).</w:t>
      </w:r>
    </w:p>
    <w:p w14:paraId="7A429BA1" w14:textId="77777777" w:rsidR="0041371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t>____Полномочия по организации и осуществлению внутреннего финансового аудита закреплены в положениях о структурных подразделениях главного администратора бюджетных средств, администратора бюджетных средств наряду с основными функциями (задачами) (5 баллов).</w:t>
      </w:r>
    </w:p>
    <w:p w14:paraId="6859656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t>____Полномочия субъекта внутреннего финансового аудита как самостоятельного структурного подразделения главного администратора бюджетных средств, администратора бюджетных средств закреплены соответствующим положением. Разработаны и утверждены должностные регламенты и инструкции сотрудников аудиторского подразделения, осуществляющих внутренний финансовый аудит (7 баллов).</w:t>
      </w:r>
    </w:p>
    <w:p w14:paraId="4894DCD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w:t>
      </w:r>
    </w:p>
    <w:p w14:paraId="11E9009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lastRenderedPageBreak/>
        <w:t>1.3. Укомплектованность субъекта внутреннего финансового аудита сотрудниками с учетом требований к профессиональным знаниям и навыкам</w:t>
      </w:r>
    </w:p>
    <w:p w14:paraId="2E6E140E" w14:textId="0B6103F2" w:rsidR="0041371F" w:rsidRPr="006258EF" w:rsidRDefault="001137A1" w:rsidP="00113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0041371F" w:rsidRPr="006258EF">
        <w:t>____Укомплектованность по количеству недостаточная для реализации задач внутреннего финансового аудита (1 балл).</w:t>
      </w:r>
    </w:p>
    <w:p w14:paraId="5004386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____Укомплектованность по количеству достаточная для реализации задач внутреннего финансового аудита, но большинство сотрудников субъекта внутреннего финансового аудита не имеют дипломов высшего профессионального образования по экономическим, юридическим направлениям подготовки (специальностям) (4 балла).</w:t>
      </w:r>
    </w:p>
    <w:p w14:paraId="4CF5712F"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____Укомплектованность по количеству достаточная и большинство сотрудников субъекта внутреннего финансового аудита имеют дипломы высшего профессионального образования по экономическим, юридическим направлениям подготовки (специальностям) (7 баллов).</w:t>
      </w:r>
    </w:p>
    <w:p w14:paraId="7F03EBC4"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5478BA49"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2. Организация планирования внутреннего финансового аудита</w:t>
      </w:r>
    </w:p>
    <w:p w14:paraId="368F5491"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33AC148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2.1. Годовое планирование внутреннего финансового аудита и программы аудиторских проверок, их соответствие нормативным правовым актам Российской Федерации в сфере внутреннего финансового аудита (наличие установленного порядка составления, утверждения и ведения годового плана, наличие годового плана и программ аудиторских проверок, их форма, срок утверждения годового плана и др.)</w:t>
      </w:r>
    </w:p>
    <w:p w14:paraId="7FF5544E" w14:textId="6DB3960F" w:rsidR="0041371F" w:rsidRPr="006258EF" w:rsidRDefault="00285F7C" w:rsidP="00113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0041371F" w:rsidRPr="006258EF">
        <w:t>____Порядок составления, утверждения и ведения годового плана и (или) годовой план осуществления внутреннего финансового аудита и программы аудиторских проверок отсутствуют (1 балл).</w:t>
      </w:r>
    </w:p>
    <w:p w14:paraId="01B03B70"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____Годовой план осуществления внутреннего финансового аудита и программы аудиторских проверок имеются, но порядок его составления, утверждения и ведения не соответствует нормативным правовым актам Российской Федерации в сфере внутреннего финансового аудита (4 балла).</w:t>
      </w:r>
    </w:p>
    <w:p w14:paraId="60E4D7F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____Годовой план осуществления внутреннего финансового аудита и программы аудиторских проверок имеются, порядок составления, утверждения и ведения соответствует нормативным правовым актам Российской Федерации в сфере внутреннего финансового аудита (7 баллов).</w:t>
      </w:r>
    </w:p>
    <w:p w14:paraId="463E9D0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6B1B65D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2.2. Степень учета субъектом внутреннего финансового аудита факторов, влияющих на качество составления годового плана внутреннего финансового аудита и программ аудиторских проверок (значимость операций, объем выборки, степень обеспеченности субъекта внутреннего финансового аудита ресурсами и др.)</w:t>
      </w:r>
    </w:p>
    <w:p w14:paraId="5DAFD008" w14:textId="514D6981" w:rsidR="0041371F" w:rsidRPr="006258EF" w:rsidRDefault="0041371F" w:rsidP="0028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285F7C">
        <w:t xml:space="preserve">       </w:t>
      </w:r>
      <w:r w:rsidRPr="006258EF">
        <w:t>____Указанные факторы не учитываются (1 балл).</w:t>
      </w:r>
    </w:p>
    <w:p w14:paraId="3CCCA8F6"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____Указанные факторы учитываются частично (4 балла).</w:t>
      </w:r>
    </w:p>
    <w:p w14:paraId="127AA7F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____Указанные факторы учитываются полностью (7 баллов).</w:t>
      </w:r>
    </w:p>
    <w:p w14:paraId="068B0E0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1FA5946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2.3. Организация планирования аудиторских проверок в объектах внутреннего финансового аудита, включая применение субъектом внутреннего финансового аудита оценки бюджетных рисков при планирован</w:t>
      </w:r>
      <w:proofErr w:type="gramStart"/>
      <w:r w:rsidRPr="006258EF">
        <w:t>ии ау</w:t>
      </w:r>
      <w:proofErr w:type="gramEnd"/>
      <w:r w:rsidRPr="006258EF">
        <w:t>диторских проверок</w:t>
      </w:r>
    </w:p>
    <w:p w14:paraId="0BD3EF95" w14:textId="12ADB2E6" w:rsidR="0041371F" w:rsidRPr="006258EF" w:rsidRDefault="0041371F" w:rsidP="0028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285F7C">
        <w:t xml:space="preserve">  </w:t>
      </w:r>
      <w:r w:rsidRPr="006258EF">
        <w:t>____Планирование аудиторских проверок организовано без применения оценки бюджетных рисков при планирован</w:t>
      </w:r>
      <w:proofErr w:type="gramStart"/>
      <w:r w:rsidRPr="006258EF">
        <w:t>ии ау</w:t>
      </w:r>
      <w:proofErr w:type="gramEnd"/>
      <w:r w:rsidRPr="006258EF">
        <w:t>диторских проверок (1 балл).</w:t>
      </w:r>
    </w:p>
    <w:p w14:paraId="5C9AE013"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____Планирование аудиторских проверок организовано на основе разовой оценки бюджетных </w:t>
      </w:r>
      <w:proofErr w:type="gramStart"/>
      <w:r w:rsidRPr="006258EF">
        <w:t>рисков</w:t>
      </w:r>
      <w:proofErr w:type="gramEnd"/>
      <w:r w:rsidRPr="006258EF">
        <w:t xml:space="preserve"> на стадии подготовки планов внутреннего финансового аудита (4 балла).</w:t>
      </w:r>
    </w:p>
    <w:p w14:paraId="3C93148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____Планирование аудиторских проверок организовано с применением оценки бюджетных рисков в главном администраторе бюджетных средств, администраторе бюджетных средств. (7 баллов).</w:t>
      </w:r>
    </w:p>
    <w:p w14:paraId="7187D19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0280776F" w14:textId="30EFFEFC"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lastRenderedPageBreak/>
        <w:t xml:space="preserve">2.4. Проведение субъектом внутреннего финансового аудита предварительного анализа данных об объектах аудита при составлении программы аудиторской проверки (в том числе сведений о </w:t>
      </w:r>
      <w:proofErr w:type="gramStart"/>
      <w:r w:rsidRPr="006258EF">
        <w:t>результатах</w:t>
      </w:r>
      <w:proofErr w:type="gramEnd"/>
      <w:r w:rsidRPr="006258EF">
        <w:t xml:space="preserve"> проведенных в проверяемом периоде контрольных мероприятий </w:t>
      </w:r>
      <w:r w:rsidR="00285F7C">
        <w:t>контрольно-счетной</w:t>
      </w:r>
      <w:r w:rsidRPr="006258EF">
        <w:t xml:space="preserve"> палаты и иных органов, осуществляющих функции по контролю и надзору в финансово-бюджетной сфере)</w:t>
      </w:r>
    </w:p>
    <w:p w14:paraId="66C81E8B" w14:textId="19EF9F1A" w:rsidR="0041371F" w:rsidRPr="006258EF" w:rsidRDefault="0041371F" w:rsidP="0028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285F7C">
        <w:t xml:space="preserve">        </w:t>
      </w:r>
      <w:r w:rsidRPr="006258EF">
        <w:t>____Не проводится (1 балл).</w:t>
      </w:r>
    </w:p>
    <w:p w14:paraId="26489D8E"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____Проводится частично (4 балла).</w:t>
      </w:r>
    </w:p>
    <w:p w14:paraId="4AD1090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____Проводится в полной мере (7 баллов).</w:t>
      </w:r>
    </w:p>
    <w:p w14:paraId="505362F3"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2A07DA39"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85F7C">
        <w:t>3. Организация осуществления внутреннего финансового аудита, включая степень охвата аудиторскими проверками объектов внутреннего финансового аудита, подведомственных главному администратору бюджетных средств, администратору бюджетных средств</w:t>
      </w:r>
    </w:p>
    <w:p w14:paraId="0A4B7D4C"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p>
    <w:p w14:paraId="0D12961E"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85F7C">
        <w:t xml:space="preserve">3.1. </w:t>
      </w:r>
      <w:proofErr w:type="gramStart"/>
      <w:r w:rsidRPr="00285F7C">
        <w:t>Наличие и характеристика правового акта главного администратора бюджетных средств, устанавливающего порядок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подведомственных ему администраторов бюджетных средств (далее – порядок осуществления мониторинга финансового менеджмента) (заполняется в случае наличия таких объектов).</w:t>
      </w:r>
      <w:proofErr w:type="gramEnd"/>
    </w:p>
    <w:p w14:paraId="6532F800"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85F7C">
        <w:t>____Отсутствие порядка осуществления мониторинга финансового менеджмента (1 балл).</w:t>
      </w:r>
    </w:p>
    <w:p w14:paraId="6F6107A4"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85F7C">
        <w:t>____Наличие порядка осуществления мониторинга финансового менеджмента, который не обеспечивает полноту и соответствие требованиям законодательства правил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 а также правил формирования и представления отчета о результатах мониторинга качества финансового менеджмента (4 балла).</w:t>
      </w:r>
    </w:p>
    <w:p w14:paraId="786F1124" w14:textId="77777777" w:rsidR="0041371F" w:rsidRPr="00285F7C"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85F7C">
        <w:t>____Наличие порядка осуществления мониторинга финансового менеджмента, который обеспечивает полноту и соответствие требованиям законодательства правил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 а также правил формирования и представления отчета о результатах мониторинга качества финансового менеджмента. (7 баллов).</w:t>
      </w:r>
    </w:p>
    <w:p w14:paraId="57F187F0"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67F8F7BF"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3.2. Степень охвата аудиторскими проверками объектов внутреннего финансового аудита, подведомственных </w:t>
      </w:r>
      <w:r w:rsidRPr="00EF31EB">
        <w:t xml:space="preserve">главному распорядителю (распорядителю) средств </w:t>
      </w:r>
      <w:r w:rsidRPr="00B34B58">
        <w:t>местного бюджета</w:t>
      </w:r>
      <w:r w:rsidRPr="00EF31EB">
        <w:t xml:space="preserve"> (зап</w:t>
      </w:r>
      <w:r w:rsidRPr="006258EF">
        <w:t>олняется в случае наличия таких объектов), по данным отчетного года.</w:t>
      </w:r>
    </w:p>
    <w:p w14:paraId="60A884EA" w14:textId="51138E93" w:rsidR="0041371F" w:rsidRPr="006258EF" w:rsidRDefault="0041371F" w:rsidP="0028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285F7C">
        <w:t xml:space="preserve">   </w:t>
      </w:r>
      <w:r w:rsidRPr="006258EF">
        <w:t xml:space="preserve">____Аудиторскими проверками внутреннего финансового аудита охвачено от 0 (включительно) до 14,3% объектов внутреннего финансового аудита, подведомственных главному распорядителю (распорядителю) средств </w:t>
      </w:r>
      <w:r w:rsidRPr="00B34B58">
        <w:t xml:space="preserve">местного бюджета </w:t>
      </w:r>
      <w:r w:rsidRPr="006258EF">
        <w:t>(1 балл).</w:t>
      </w:r>
    </w:p>
    <w:p w14:paraId="3BFFEAC3"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14,3% (включительно) до 28,6% объектов внутреннего финансового аудита, подведомственных главному распорядителю (распорядителю) средств местного бюджета (2 балла).</w:t>
      </w:r>
    </w:p>
    <w:p w14:paraId="63DE07F0"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28,6% (включительно) до 42,9% объектов внутреннего финансового аудита, подведомственных главному распорядителю (распорядителю) средств местного бюджета (3 балла).</w:t>
      </w:r>
    </w:p>
    <w:p w14:paraId="57E37EDE" w14:textId="4E00AA69"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42,9% (включительно) до 57,2% объектов внутреннего финансового аудита, подведомственных главному распорядителю (распорядителю) средств местного бюджета (4 балла).</w:t>
      </w:r>
    </w:p>
    <w:p w14:paraId="4D86EE14"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lastRenderedPageBreak/>
        <w:t>____Аудиторскими проверками внутреннего финансового аудита охвачено от 57,2% (включительно) до 71,5% объектов внутреннего финансового аудита, подведомственных главному распорядителю (распорядителю) средств местного бюджета (5 баллов).</w:t>
      </w:r>
    </w:p>
    <w:p w14:paraId="4C68508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71,5% (включительно) до 85,8% объектов внутреннего финансового аудита, подведомственных главному распорядителю (распорядителю) средств местного бюджета (6 баллов).</w:t>
      </w:r>
    </w:p>
    <w:p w14:paraId="58E62E06"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85,8% (включительно) до 100% (включительно) объектов внутреннего финансового аудита, подведомственных главному распорядителю (распорядителю) средств местного бюджета (7 баллов).</w:t>
      </w:r>
    </w:p>
    <w:p w14:paraId="11807400"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07EED2F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3.3. Степень охвата аудиторскими проверками объектов внутреннего финансового аудита, подведомственных главному администратору (администратору) доходов </w:t>
      </w:r>
      <w:r w:rsidRPr="00B34B58">
        <w:t xml:space="preserve">местного бюджета </w:t>
      </w:r>
      <w:r w:rsidRPr="006258EF">
        <w:t>(заполняется в случае наличия таких объектов), по данным отчетного года</w:t>
      </w:r>
    </w:p>
    <w:p w14:paraId="32F5FC39" w14:textId="454EF309"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____Аудиторскими проверками внутреннего финансового аудита охвачено от 0 (включительно) до 14,3% объектов внутреннего финансового аудита, подведомственных главному администратору (администратору) доходов местного бюджета (1 балл).</w:t>
      </w:r>
    </w:p>
    <w:p w14:paraId="21D9F4E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14,3% (включительно) до 28,6% объектов внутреннего финансового аудита, подведомственных главному администратору (администратору) доходов местного бюджета (2 балла).</w:t>
      </w:r>
    </w:p>
    <w:p w14:paraId="4194B50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28,6% (включительно) до 42,9% объектов внутреннего финансового аудита, подведомственных главному администратору (администратору) доходов местного бюджета (3 балла).</w:t>
      </w:r>
    </w:p>
    <w:p w14:paraId="00F1C47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42,9% (включительно) до 57,2% объектов внутреннего финансового аудита, подведомственных главному администратору (администратору) доходов местного бюджета (4 балла).</w:t>
      </w:r>
    </w:p>
    <w:p w14:paraId="560A7A1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57,2% (включительно) до 71,5% объектов внутреннего финансового аудита, подведомственных главному администратору (администратору) доходов местного бюджета (5 баллов).</w:t>
      </w:r>
    </w:p>
    <w:p w14:paraId="6AFAD06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71,5% (включительно) до 85,8% объектов внутреннего финансового аудита, подведомственных главному администратору (администратору) доходов местного бюджета (6 баллов).</w:t>
      </w:r>
    </w:p>
    <w:p w14:paraId="3319AAA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85,8% до 100% (включительно) объектов внутреннего финансового аудита, подведомственных главному администратору (администратору) доходов местного бюджета (7 баллов).</w:t>
      </w:r>
    </w:p>
    <w:p w14:paraId="7AB49B29"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7DB1739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3.4. Степень охвата аудиторскими проверками объектов внутреннего финансового аудита, подведомственных главному администратору (администратору) источников финансирования дефицита </w:t>
      </w:r>
      <w:r w:rsidRPr="00B34B58">
        <w:t xml:space="preserve">местного бюджета </w:t>
      </w:r>
      <w:r w:rsidRPr="006258EF">
        <w:t>(заполняется в случае наличия таких объектов), по данным отчетного года</w:t>
      </w:r>
    </w:p>
    <w:p w14:paraId="20994458" w14:textId="095DD64F"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____Аудиторскими проверками внутреннего финансового аудита охвачено от 0 (включительно) до 14,3%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(1 балл).</w:t>
      </w:r>
    </w:p>
    <w:p w14:paraId="32DFB68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14,3% (включительно) до 28,6%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(2 балла).</w:t>
      </w:r>
    </w:p>
    <w:p w14:paraId="4B6AAC6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28,6% (включительно) до 42,9%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(3 балла).</w:t>
      </w:r>
    </w:p>
    <w:p w14:paraId="56654801"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lastRenderedPageBreak/>
        <w:t>____Аудиторскими проверками внутреннего финансового аудита охвачено от 42,9% (включительно) до 57,2%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(4 балла).</w:t>
      </w:r>
    </w:p>
    <w:p w14:paraId="068844F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57,2% (включительно) до 71,5%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(5 баллов).</w:t>
      </w:r>
    </w:p>
    <w:p w14:paraId="34CAF2E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71,5% (включительно) до 85,8% объектов внутреннего финансового аудита, подведомственных главному администратору (администратору) источников финансирования дефицита местного бюджета (6 баллов).</w:t>
      </w:r>
    </w:p>
    <w:p w14:paraId="68D557B7"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____Аудиторскими проверками внутреннего финансового аудита охвачено от 85,8% (включительно) до 100% (включительно) объектов внутреннего финансового аудита, главному администратору (администратору) источников финансирования дефицита местного бюджета (7 баллов).</w:t>
      </w:r>
    </w:p>
    <w:p w14:paraId="5B92F27A"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2F6D1AD9"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3.5. Соответствие процедур проведения аудиторских проверок нормативным правовым актам в сфере внутреннего финансового аудита (методы аудита, наличие аудиторских доказательств, документы, подготавливаемые и получаемые в ходе проведения аудиторской проверки, и др.)</w:t>
      </w:r>
    </w:p>
    <w:p w14:paraId="61ED70A2" w14:textId="62DCE6C1"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____Аудиторские проверки не проводятся (1 балл).</w:t>
      </w:r>
    </w:p>
    <w:p w14:paraId="6D06E824"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____Аудиторские проверки проводятся, но процедуры их проведения не соответствуют нормативным правовым актам в сфере внутреннего финансового аудита (4 балла).</w:t>
      </w:r>
    </w:p>
    <w:p w14:paraId="3D049F7E"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____Аудиторские проверки проводятся в порядке, утвержденном нормативным правовым актам в сфере внутреннего финансового аудита (7 баллов).</w:t>
      </w:r>
    </w:p>
    <w:p w14:paraId="75678CB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208D866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4. Соблюдение субъектом внутреннего финансового аудита порядка составления и представления отчета о результатах аудиторских проверок объектов внутреннего финансового аудита и годовой отчетности о результатах осуществления внутреннего финансового аудита, проведенных субъектом внутреннего финансового аудита, реализацию замечаний и рекомендаций субъекта внутреннего финансового аудита</w:t>
      </w:r>
    </w:p>
    <w:p w14:paraId="7069A2B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1F95028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4.1. Соблюдение субъектом внутреннего финансового аудита порядка составления и представления отчета о результатах аудиторских проверок объектов внутреннего финансового аудита</w:t>
      </w:r>
    </w:p>
    <w:p w14:paraId="2C94FAE9" w14:textId="7C30C56E"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____Не соблюдается (1 балл).</w:t>
      </w:r>
    </w:p>
    <w:p w14:paraId="6A6A9522"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____Соблюдается частично (4 балла).</w:t>
      </w:r>
    </w:p>
    <w:p w14:paraId="15E8270D"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____Соблюдается в полной мере (7 баллов).</w:t>
      </w:r>
    </w:p>
    <w:p w14:paraId="062ECE35"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4CA9685F"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4.2. Соблюдение субъектом внутреннего финансового аудита порядка составления и представления годовой отчетности о результатах осуществления внутреннего финансового аудита, проведенных субъектом внутреннего финансового аудита</w:t>
      </w:r>
    </w:p>
    <w:p w14:paraId="55A3A17C" w14:textId="5293E586"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____Не соблюдается (1 балл).</w:t>
      </w:r>
    </w:p>
    <w:p w14:paraId="0176F794"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____Соблюдается частично (4 балла).</w:t>
      </w:r>
    </w:p>
    <w:p w14:paraId="4C04A0F6"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____Соблюдается в полной мере (7 баллов).</w:t>
      </w:r>
    </w:p>
    <w:p w14:paraId="689FE00C"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58631A21"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4.3. Анализ руководством главного администратора бюджетных средств, администратора бюджетных </w:t>
      </w:r>
      <w:proofErr w:type="gramStart"/>
      <w:r w:rsidRPr="006258EF">
        <w:t>средств результатов деятельности субъекта внутреннего аудита</w:t>
      </w:r>
      <w:proofErr w:type="gramEnd"/>
      <w:r w:rsidRPr="006258EF">
        <w:t xml:space="preserve"> на основании отчетности</w:t>
      </w:r>
    </w:p>
    <w:p w14:paraId="0B5F18D6" w14:textId="3AF6FEDA"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____Не анализируются (1 балл)</w:t>
      </w:r>
    </w:p>
    <w:p w14:paraId="5A48889B"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____Анализируются (7 баллов).</w:t>
      </w:r>
    </w:p>
    <w:p w14:paraId="3BC81539" w14:textId="1A807917"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258EF">
        <w:lastRenderedPageBreak/>
        <w:t> 4.4. Степень реализации главным администратором бюджетных средств, администратором бюджетных средств аудиторских выводов, предложений и рекомендаций</w:t>
      </w:r>
    </w:p>
    <w:p w14:paraId="7263F180" w14:textId="4754312D"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____Замечания и рекомендации не реализуются (1 балл).</w:t>
      </w:r>
    </w:p>
    <w:p w14:paraId="7F34BBA0"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____Реализуются частично (4 балла).</w:t>
      </w:r>
    </w:p>
    <w:p w14:paraId="250EDA58"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____Реализуются </w:t>
      </w:r>
      <w:proofErr w:type="gramStart"/>
      <w:r w:rsidRPr="006258EF">
        <w:t>полностью</w:t>
      </w:r>
      <w:proofErr w:type="gramEnd"/>
      <w:r w:rsidRPr="006258EF">
        <w:t xml:space="preserve"> и существует отчетность о результатах принятых мер (7 баллов).</w:t>
      </w:r>
    </w:p>
    <w:p w14:paraId="45DB2721"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p>
    <w:p w14:paraId="0378E992" w14:textId="4AAF675E" w:rsidR="0041371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5. Взаимодействие субъекта внутреннего финансового аудита с</w:t>
      </w:r>
      <w:r w:rsidR="00970342">
        <w:t xml:space="preserve"> контрольно-счетной</w:t>
      </w:r>
      <w:r w:rsidRPr="006258EF">
        <w:t xml:space="preserve"> палатой и другими органами финансового контроля</w:t>
      </w:r>
    </w:p>
    <w:p w14:paraId="5C157681" w14:textId="77777777" w:rsidR="00970342" w:rsidRDefault="00970342" w:rsidP="00970342">
      <w:pPr>
        <w:autoSpaceDE w:val="0"/>
        <w:autoSpaceDN w:val="0"/>
        <w:adjustRightInd w:val="0"/>
        <w:ind w:firstLine="540"/>
        <w:jc w:val="both"/>
        <w:rPr>
          <w:rFonts w:eastAsiaTheme="minorHAnsi"/>
          <w:lang w:eastAsia="en-US"/>
        </w:rPr>
      </w:pPr>
    </w:p>
    <w:p w14:paraId="5E567D80" w14:textId="706D23B2" w:rsidR="00970342" w:rsidRDefault="00970342" w:rsidP="00970342">
      <w:pPr>
        <w:autoSpaceDE w:val="0"/>
        <w:autoSpaceDN w:val="0"/>
        <w:adjustRightInd w:val="0"/>
        <w:ind w:firstLine="540"/>
        <w:jc w:val="both"/>
        <w:rPr>
          <w:rFonts w:eastAsiaTheme="minorHAnsi"/>
          <w:lang w:eastAsia="en-US"/>
        </w:rPr>
      </w:pPr>
      <w:r>
        <w:rPr>
          <w:rFonts w:eastAsiaTheme="minorHAnsi"/>
          <w:lang w:eastAsia="en-US"/>
        </w:rPr>
        <w:t xml:space="preserve">5.1. Взаимодействие субъекта внутреннего финансового аудита </w:t>
      </w:r>
      <w:r w:rsidRPr="00970342">
        <w:rPr>
          <w:rFonts w:eastAsiaTheme="minorHAnsi"/>
          <w:lang w:eastAsia="en-US"/>
        </w:rPr>
        <w:t xml:space="preserve">с контрольно-счетной палатой </w:t>
      </w:r>
      <w:r>
        <w:rPr>
          <w:rFonts w:eastAsiaTheme="minorHAnsi"/>
          <w:lang w:eastAsia="en-US"/>
        </w:rPr>
        <w:t>и другими органами государственного финансового контроля</w:t>
      </w:r>
    </w:p>
    <w:p w14:paraId="66FE1E30" w14:textId="3D770944" w:rsidR="00970342" w:rsidRDefault="00970342" w:rsidP="00A17DB2">
      <w:pPr>
        <w:autoSpaceDE w:val="0"/>
        <w:autoSpaceDN w:val="0"/>
        <w:adjustRightInd w:val="0"/>
        <w:ind w:firstLine="539"/>
        <w:jc w:val="both"/>
        <w:rPr>
          <w:rFonts w:eastAsiaTheme="minorHAnsi"/>
          <w:lang w:eastAsia="en-US"/>
        </w:rPr>
      </w:pPr>
      <w:r>
        <w:rPr>
          <w:rFonts w:eastAsiaTheme="minorHAnsi"/>
          <w:lang w:eastAsia="en-US"/>
        </w:rPr>
        <w:t>____Не осуществляется (1 балл).</w:t>
      </w:r>
    </w:p>
    <w:p w14:paraId="3DD908A8" w14:textId="4CF893A8" w:rsidR="00970342" w:rsidRDefault="00970342" w:rsidP="00A17DB2">
      <w:pPr>
        <w:autoSpaceDE w:val="0"/>
        <w:autoSpaceDN w:val="0"/>
        <w:adjustRightInd w:val="0"/>
        <w:ind w:firstLine="539"/>
        <w:jc w:val="both"/>
        <w:rPr>
          <w:rFonts w:eastAsiaTheme="minorHAnsi"/>
          <w:lang w:eastAsia="en-US"/>
        </w:rPr>
      </w:pPr>
      <w:r>
        <w:rPr>
          <w:rFonts w:eastAsiaTheme="minorHAnsi"/>
          <w:lang w:eastAsia="en-US"/>
        </w:rPr>
        <w:t xml:space="preserve">____Субъектом внутреннего финансового аудита предоставляется информация, запрашиваемая </w:t>
      </w:r>
      <w:r w:rsidR="00251A10" w:rsidRPr="00251A10">
        <w:rPr>
          <w:rFonts w:eastAsiaTheme="minorHAnsi"/>
          <w:lang w:eastAsia="en-US"/>
        </w:rPr>
        <w:t>контрольно-счетной палатой</w:t>
      </w:r>
      <w:r>
        <w:rPr>
          <w:rFonts w:eastAsiaTheme="minorHAnsi"/>
          <w:lang w:eastAsia="en-US"/>
        </w:rPr>
        <w:t xml:space="preserve"> и другими органами государственного финансового контроля (7 баллов).</w:t>
      </w:r>
    </w:p>
    <w:p w14:paraId="50A52B94" w14:textId="39928CA9"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B85A6AD" w14:textId="3222B7F2"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5.</w:t>
      </w:r>
      <w:r w:rsidR="00251A10">
        <w:t>2</w:t>
      </w:r>
      <w:r w:rsidRPr="006258EF">
        <w:t xml:space="preserve">. Анализ субъектом внутреннего финансового аудита информация о результатах устранения нарушений и недостатков, выявленных в его деятельности в ходе проверок и анализа эффективности внутреннего финансового аудита, проведенных </w:t>
      </w:r>
      <w:r w:rsidR="00251A10" w:rsidRPr="00251A10">
        <w:t xml:space="preserve">контрольно-счетной палатой </w:t>
      </w:r>
      <w:r w:rsidRPr="006258EF">
        <w:t>и другими органами финансового контроля</w:t>
      </w:r>
    </w:p>
    <w:p w14:paraId="30B0358A" w14:textId="593E005F" w:rsidR="0041371F" w:rsidRPr="006258EF" w:rsidRDefault="0041371F" w:rsidP="00A1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58EF">
        <w:t> </w:t>
      </w:r>
      <w:r w:rsidR="00A17DB2">
        <w:t xml:space="preserve">        </w:t>
      </w:r>
      <w:r w:rsidRPr="006258EF">
        <w:t>____Не анализируется (1 балл).</w:t>
      </w:r>
    </w:p>
    <w:p w14:paraId="7302C4B3" w14:textId="77777777" w:rsidR="0041371F" w:rsidRPr="006258EF" w:rsidRDefault="0041371F"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____Анализируется при составлении планов проведения аудиторских проверок (5 баллов).</w:t>
      </w:r>
    </w:p>
    <w:p w14:paraId="2EE8F94B" w14:textId="2D480967" w:rsidR="00B41658" w:rsidRDefault="0041371F" w:rsidP="00155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6258EF">
        <w:t xml:space="preserve">____Анализируется при составлении планов проведения аудиторских проверок, принимаются меры по устранению нарушений и недостатков, выявленных по результатам проверок и анализа эффективности внутреннего финансового аудита, проведенных </w:t>
      </w:r>
      <w:r w:rsidR="002B7BD7" w:rsidRPr="002B7BD7">
        <w:t xml:space="preserve">контрольно-счетной палатой </w:t>
      </w:r>
      <w:r w:rsidRPr="006258EF">
        <w:t>и другими органами финансового контроля (7 баллов).</w:t>
      </w:r>
    </w:p>
    <w:p w14:paraId="1E23E5E5" w14:textId="6237518A" w:rsidR="00B41658" w:rsidRDefault="00B41658"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p>
    <w:p w14:paraId="7F4002AE" w14:textId="55B3CE76" w:rsidR="00B41658" w:rsidRDefault="00B41658"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p>
    <w:p w14:paraId="14802325" w14:textId="77777777" w:rsidR="00B41658" w:rsidRDefault="00B41658" w:rsidP="0041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sectPr w:rsidR="00B41658" w:rsidSect="001137A1">
          <w:pgSz w:w="11906" w:h="16838"/>
          <w:pgMar w:top="1134" w:right="566" w:bottom="1134" w:left="1701" w:header="708" w:footer="708" w:gutter="0"/>
          <w:cols w:space="708"/>
          <w:docGrid w:linePitch="360"/>
        </w:sectPr>
      </w:pPr>
    </w:p>
    <w:p w14:paraId="1B2615D1" w14:textId="1E339950" w:rsidR="002576A2" w:rsidRDefault="002576A2" w:rsidP="00257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2576A2">
        <w:lastRenderedPageBreak/>
        <w:t>Таблица 1</w:t>
      </w:r>
    </w:p>
    <w:p w14:paraId="6B5E3CCB" w14:textId="137C1B0A" w:rsidR="00B41658" w:rsidRPr="00B86506" w:rsidRDefault="00B41658" w:rsidP="00B41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86506">
        <w:t>Интегральная оценка</w:t>
      </w:r>
    </w:p>
    <w:p w14:paraId="194F3687" w14:textId="752A384D" w:rsidR="00B41658" w:rsidRDefault="00B41658" w:rsidP="00B41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86506">
        <w:t>организации внутреннего финансового аудита</w:t>
      </w:r>
    </w:p>
    <w:tbl>
      <w:tblPr>
        <w:tblW w:w="14996" w:type="dxa"/>
        <w:tblInd w:w="20" w:type="dxa"/>
        <w:tblLayout w:type="fixed"/>
        <w:tblCellMar>
          <w:left w:w="0" w:type="dxa"/>
          <w:right w:w="0" w:type="dxa"/>
        </w:tblCellMar>
        <w:tblLook w:val="04A0" w:firstRow="1" w:lastRow="0" w:firstColumn="1" w:lastColumn="0" w:noHBand="0" w:noVBand="1"/>
      </w:tblPr>
      <w:tblGrid>
        <w:gridCol w:w="485"/>
        <w:gridCol w:w="485"/>
        <w:gridCol w:w="486"/>
        <w:gridCol w:w="440"/>
        <w:gridCol w:w="440"/>
        <w:gridCol w:w="440"/>
        <w:gridCol w:w="440"/>
        <w:gridCol w:w="862"/>
        <w:gridCol w:w="851"/>
        <w:gridCol w:w="992"/>
        <w:gridCol w:w="992"/>
        <w:gridCol w:w="992"/>
        <w:gridCol w:w="854"/>
        <w:gridCol w:w="850"/>
        <w:gridCol w:w="851"/>
        <w:gridCol w:w="1134"/>
        <w:gridCol w:w="1701"/>
        <w:gridCol w:w="1701"/>
      </w:tblGrid>
      <w:tr w:rsidR="00B41658" w:rsidRPr="00B86506" w14:paraId="46E21135" w14:textId="77777777" w:rsidTr="008465D3">
        <w:tc>
          <w:tcPr>
            <w:tcW w:w="13295" w:type="dxa"/>
            <w:gridSpan w:val="17"/>
            <w:tcBorders>
              <w:top w:val="single" w:sz="8" w:space="0" w:color="000000"/>
              <w:left w:val="single" w:sz="8" w:space="0" w:color="000000"/>
              <w:bottom w:val="single" w:sz="8" w:space="0" w:color="000000"/>
              <w:right w:val="single" w:sz="8" w:space="0" w:color="000000"/>
            </w:tcBorders>
          </w:tcPr>
          <w:p w14:paraId="32D8FB5C" w14:textId="77777777" w:rsidR="00B41658" w:rsidRPr="00B86506" w:rsidRDefault="00B41658" w:rsidP="008465D3">
            <w:pPr>
              <w:spacing w:before="100" w:after="100"/>
              <w:ind w:left="60" w:right="60"/>
              <w:jc w:val="center"/>
            </w:pPr>
            <w:r w:rsidRPr="00B86506">
              <w:t>Вопросы для оценки организации внутреннего финансового аудита</w:t>
            </w:r>
          </w:p>
        </w:tc>
        <w:tc>
          <w:tcPr>
            <w:tcW w:w="1701" w:type="dxa"/>
            <w:vMerge w:val="restart"/>
            <w:tcBorders>
              <w:top w:val="single" w:sz="8" w:space="0" w:color="000000"/>
              <w:left w:val="single" w:sz="8" w:space="0" w:color="000000"/>
              <w:right w:val="single" w:sz="8" w:space="0" w:color="000000"/>
            </w:tcBorders>
          </w:tcPr>
          <w:p w14:paraId="492FB93C" w14:textId="77777777" w:rsidR="00B41658" w:rsidRPr="00B86506" w:rsidRDefault="00B41658" w:rsidP="008465D3">
            <w:pPr>
              <w:spacing w:before="100" w:after="100"/>
              <w:ind w:left="60" w:right="60"/>
              <w:jc w:val="center"/>
            </w:pPr>
            <w:proofErr w:type="gramStart"/>
            <w:r w:rsidRPr="00B86506">
              <w:t>Средняя оценка (</w:t>
            </w:r>
            <w:hyperlink r:id="rId5" w:anchor="p86" w:history="1">
              <w:r w:rsidRPr="00B86506">
                <w:rPr>
                  <w:color w:val="0000FF"/>
                  <w:u w:val="single"/>
                </w:rPr>
                <w:t>графы 1</w:t>
              </w:r>
            </w:hyperlink>
            <w:r w:rsidRPr="00B86506">
              <w:t xml:space="preserve"> + </w:t>
            </w:r>
            <w:hyperlink r:id="rId6" w:anchor="p87" w:history="1">
              <w:r w:rsidRPr="00B86506">
                <w:rPr>
                  <w:color w:val="0000FF"/>
                  <w:u w:val="single"/>
                </w:rPr>
                <w:t>2</w:t>
              </w:r>
            </w:hyperlink>
            <w:r w:rsidRPr="00B86506">
              <w:t xml:space="preserve"> + ... </w:t>
            </w:r>
            <w:hyperlink r:id="rId7" w:anchor="p103" w:history="1">
              <w:r w:rsidRPr="00B86506">
                <w:rPr>
                  <w:color w:val="0000FF"/>
                  <w:u w:val="single"/>
                </w:rPr>
                <w:t>1</w:t>
              </w:r>
              <w:r>
                <w:rPr>
                  <w:color w:val="0000FF"/>
                  <w:u w:val="single"/>
                </w:rPr>
                <w:t>7</w:t>
              </w:r>
            </w:hyperlink>
            <w:r w:rsidRPr="00B86506">
              <w:t>) / количество заполненных граф)</w:t>
            </w:r>
            <w:proofErr w:type="gramEnd"/>
          </w:p>
        </w:tc>
      </w:tr>
      <w:tr w:rsidR="00B41658" w:rsidRPr="00B86506" w14:paraId="3B9DB816" w14:textId="77777777" w:rsidTr="008465D3">
        <w:tc>
          <w:tcPr>
            <w:tcW w:w="1456" w:type="dxa"/>
            <w:gridSpan w:val="3"/>
            <w:tcBorders>
              <w:top w:val="single" w:sz="8" w:space="0" w:color="000000"/>
              <w:left w:val="single" w:sz="8" w:space="0" w:color="000000"/>
              <w:bottom w:val="single" w:sz="8" w:space="0" w:color="000000"/>
              <w:right w:val="single" w:sz="8" w:space="0" w:color="000000"/>
            </w:tcBorders>
            <w:hideMark/>
          </w:tcPr>
          <w:p w14:paraId="69BAF2FF" w14:textId="77777777" w:rsidR="00B41658" w:rsidRPr="00B86506" w:rsidRDefault="00B41658" w:rsidP="008465D3">
            <w:pPr>
              <w:spacing w:before="100" w:after="100"/>
              <w:ind w:left="60" w:right="60"/>
              <w:jc w:val="center"/>
            </w:pPr>
            <w:r w:rsidRPr="00B86506">
              <w:t>Управление и структура внутреннего финансового аудита</w:t>
            </w:r>
          </w:p>
        </w:tc>
        <w:tc>
          <w:tcPr>
            <w:tcW w:w="1760" w:type="dxa"/>
            <w:gridSpan w:val="4"/>
            <w:tcBorders>
              <w:top w:val="single" w:sz="8" w:space="0" w:color="000000"/>
              <w:left w:val="single" w:sz="8" w:space="0" w:color="000000"/>
              <w:bottom w:val="single" w:sz="8" w:space="0" w:color="000000"/>
              <w:right w:val="single" w:sz="8" w:space="0" w:color="000000"/>
            </w:tcBorders>
            <w:hideMark/>
          </w:tcPr>
          <w:p w14:paraId="44090B2F" w14:textId="15BAE0FC" w:rsidR="00B41658" w:rsidRPr="00B86506" w:rsidRDefault="00B41658" w:rsidP="008465D3">
            <w:pPr>
              <w:spacing w:before="100" w:after="100"/>
              <w:ind w:left="60" w:right="60"/>
              <w:jc w:val="center"/>
            </w:pPr>
            <w:r w:rsidRPr="00B86506">
              <w:t>Организация планировани</w:t>
            </w:r>
            <w:r w:rsidR="0008436A">
              <w:t>я</w:t>
            </w:r>
            <w:r w:rsidRPr="00B86506">
              <w:t xml:space="preserve"> внутреннего финансового аудита</w:t>
            </w:r>
          </w:p>
        </w:tc>
        <w:tc>
          <w:tcPr>
            <w:tcW w:w="4689" w:type="dxa"/>
            <w:gridSpan w:val="5"/>
            <w:tcBorders>
              <w:top w:val="single" w:sz="8" w:space="0" w:color="000000"/>
              <w:left w:val="single" w:sz="8" w:space="0" w:color="000000"/>
              <w:bottom w:val="single" w:sz="8" w:space="0" w:color="000000"/>
              <w:right w:val="single" w:sz="8" w:space="0" w:color="000000"/>
            </w:tcBorders>
          </w:tcPr>
          <w:p w14:paraId="29FEEF27" w14:textId="77777777" w:rsidR="00B41658" w:rsidRPr="00B86506" w:rsidRDefault="00B41658" w:rsidP="008465D3">
            <w:pPr>
              <w:spacing w:before="100" w:after="100"/>
              <w:ind w:left="60" w:right="60"/>
              <w:jc w:val="center"/>
            </w:pPr>
            <w:r w:rsidRPr="00B86506">
              <w:t>Организация осуществления внутреннего финансового аудита, включая степень охвата аудиторскими проверками объектов внутреннего финансового аудита, подведомственных главному администратору бюджетных средств, администратору бюджетных средств</w:t>
            </w:r>
          </w:p>
        </w:tc>
        <w:tc>
          <w:tcPr>
            <w:tcW w:w="3689" w:type="dxa"/>
            <w:gridSpan w:val="4"/>
            <w:tcBorders>
              <w:top w:val="single" w:sz="8" w:space="0" w:color="000000"/>
              <w:left w:val="single" w:sz="8" w:space="0" w:color="000000"/>
              <w:bottom w:val="single" w:sz="8" w:space="0" w:color="000000"/>
              <w:right w:val="single" w:sz="8" w:space="0" w:color="000000"/>
            </w:tcBorders>
            <w:hideMark/>
          </w:tcPr>
          <w:p w14:paraId="34298648" w14:textId="13CEBC35" w:rsidR="00B41658" w:rsidRPr="00B86506" w:rsidRDefault="00B41658" w:rsidP="008465D3">
            <w:pPr>
              <w:spacing w:before="100" w:after="100"/>
              <w:ind w:left="60" w:right="60"/>
              <w:jc w:val="center"/>
            </w:pPr>
            <w:r w:rsidRPr="00B86506">
              <w:t>Соблюдение субъектом внутреннего финансового аудита порядка составления и представления отчета о результатах аудиторских проверок объектов внутреннего финансового аудита и годовой отчетности о результатах осуществления внутреннего финансового аудита, проведенных субъектом внутреннего финансового аудита, реализацию замечаний и рекомендаций субъекта внутреннего финансового аудита</w:t>
            </w:r>
          </w:p>
        </w:tc>
        <w:tc>
          <w:tcPr>
            <w:tcW w:w="1701" w:type="dxa"/>
            <w:tcBorders>
              <w:top w:val="single" w:sz="8" w:space="0" w:color="000000"/>
              <w:left w:val="single" w:sz="8" w:space="0" w:color="000000"/>
              <w:bottom w:val="single" w:sz="8" w:space="0" w:color="000000"/>
              <w:right w:val="single" w:sz="8" w:space="0" w:color="000000"/>
            </w:tcBorders>
            <w:hideMark/>
          </w:tcPr>
          <w:p w14:paraId="38114D33" w14:textId="4389B767" w:rsidR="00B41658" w:rsidRPr="00B86506" w:rsidRDefault="00B41658" w:rsidP="008465D3">
            <w:pPr>
              <w:spacing w:before="100" w:after="100"/>
              <w:ind w:left="60" w:right="60"/>
              <w:jc w:val="center"/>
            </w:pPr>
            <w:r w:rsidRPr="00B86506">
              <w:t xml:space="preserve">Взаимодействие субъекта внутреннего финансового аудита </w:t>
            </w:r>
            <w:r w:rsidR="00B86109">
              <w:t xml:space="preserve">с </w:t>
            </w:r>
            <w:proofErr w:type="gramStart"/>
            <w:r w:rsidR="00B86109">
              <w:t>контроль-счетной</w:t>
            </w:r>
            <w:proofErr w:type="gramEnd"/>
            <w:r w:rsidR="00B86109">
              <w:t xml:space="preserve"> </w:t>
            </w:r>
            <w:r w:rsidRPr="00B86506">
              <w:t xml:space="preserve">палатой </w:t>
            </w:r>
            <w:r>
              <w:t>и другими органами</w:t>
            </w:r>
            <w:r w:rsidRPr="00B86506">
              <w:t xml:space="preserve"> финансового контроля</w:t>
            </w:r>
          </w:p>
        </w:tc>
        <w:tc>
          <w:tcPr>
            <w:tcW w:w="1701" w:type="dxa"/>
            <w:vMerge/>
            <w:tcBorders>
              <w:left w:val="single" w:sz="8" w:space="0" w:color="000000"/>
              <w:bottom w:val="single" w:sz="8" w:space="0" w:color="000000"/>
              <w:right w:val="single" w:sz="8" w:space="0" w:color="000000"/>
            </w:tcBorders>
            <w:vAlign w:val="center"/>
            <w:hideMark/>
          </w:tcPr>
          <w:p w14:paraId="0ACB7D97" w14:textId="77777777" w:rsidR="00B41658" w:rsidRPr="00B86506" w:rsidRDefault="00B41658" w:rsidP="008465D3"/>
        </w:tc>
      </w:tr>
      <w:tr w:rsidR="00B41658" w:rsidRPr="00B86506" w14:paraId="2D142C16" w14:textId="77777777" w:rsidTr="008465D3">
        <w:tc>
          <w:tcPr>
            <w:tcW w:w="485" w:type="dxa"/>
            <w:tcBorders>
              <w:top w:val="single" w:sz="8" w:space="0" w:color="000000"/>
              <w:left w:val="single" w:sz="8" w:space="0" w:color="000000"/>
              <w:bottom w:val="single" w:sz="8" w:space="0" w:color="000000"/>
              <w:right w:val="single" w:sz="8" w:space="0" w:color="000000"/>
            </w:tcBorders>
            <w:hideMark/>
          </w:tcPr>
          <w:p w14:paraId="2CAC009B" w14:textId="77777777" w:rsidR="00B41658" w:rsidRPr="00B86506" w:rsidRDefault="00B41658" w:rsidP="008465D3">
            <w:pPr>
              <w:spacing w:before="100" w:after="100"/>
              <w:ind w:left="60" w:right="60"/>
              <w:jc w:val="center"/>
            </w:pPr>
            <w:r w:rsidRPr="00B86506">
              <w:t>1</w:t>
            </w:r>
          </w:p>
        </w:tc>
        <w:tc>
          <w:tcPr>
            <w:tcW w:w="485" w:type="dxa"/>
            <w:tcBorders>
              <w:top w:val="single" w:sz="8" w:space="0" w:color="000000"/>
              <w:left w:val="single" w:sz="8" w:space="0" w:color="000000"/>
              <w:bottom w:val="single" w:sz="8" w:space="0" w:color="000000"/>
              <w:right w:val="single" w:sz="8" w:space="0" w:color="000000"/>
            </w:tcBorders>
            <w:hideMark/>
          </w:tcPr>
          <w:p w14:paraId="5DA00144" w14:textId="77777777" w:rsidR="00B41658" w:rsidRPr="00B86506" w:rsidRDefault="00B41658" w:rsidP="008465D3">
            <w:pPr>
              <w:spacing w:before="100" w:after="100"/>
              <w:ind w:left="60" w:right="60"/>
              <w:jc w:val="center"/>
            </w:pPr>
            <w:bookmarkStart w:id="2" w:name="p87"/>
            <w:bookmarkEnd w:id="2"/>
            <w:r w:rsidRPr="00B86506">
              <w:t>2</w:t>
            </w:r>
          </w:p>
        </w:tc>
        <w:tc>
          <w:tcPr>
            <w:tcW w:w="486" w:type="dxa"/>
            <w:tcBorders>
              <w:top w:val="single" w:sz="8" w:space="0" w:color="000000"/>
              <w:left w:val="single" w:sz="8" w:space="0" w:color="000000"/>
              <w:bottom w:val="single" w:sz="8" w:space="0" w:color="000000"/>
              <w:right w:val="single" w:sz="8" w:space="0" w:color="000000"/>
            </w:tcBorders>
            <w:hideMark/>
          </w:tcPr>
          <w:p w14:paraId="5E5D6811" w14:textId="77777777" w:rsidR="00B41658" w:rsidRPr="00985873" w:rsidRDefault="00B41658" w:rsidP="008465D3">
            <w:pPr>
              <w:spacing w:before="100" w:after="100"/>
              <w:ind w:left="60" w:right="60"/>
              <w:jc w:val="center"/>
              <w:rPr>
                <w:highlight w:val="yellow"/>
              </w:rPr>
            </w:pPr>
            <w:r w:rsidRPr="00B86506">
              <w:t>3</w:t>
            </w:r>
          </w:p>
        </w:tc>
        <w:tc>
          <w:tcPr>
            <w:tcW w:w="440" w:type="dxa"/>
            <w:tcBorders>
              <w:top w:val="single" w:sz="8" w:space="0" w:color="000000"/>
              <w:left w:val="single" w:sz="8" w:space="0" w:color="000000"/>
              <w:bottom w:val="single" w:sz="8" w:space="0" w:color="000000"/>
              <w:right w:val="single" w:sz="8" w:space="0" w:color="000000"/>
            </w:tcBorders>
            <w:hideMark/>
          </w:tcPr>
          <w:p w14:paraId="406E3043" w14:textId="77777777" w:rsidR="00B41658" w:rsidRPr="00B86506" w:rsidRDefault="00B41658" w:rsidP="008465D3">
            <w:pPr>
              <w:spacing w:before="100" w:after="100"/>
              <w:ind w:left="60" w:right="60"/>
              <w:jc w:val="center"/>
            </w:pPr>
            <w:r>
              <w:t>4</w:t>
            </w:r>
          </w:p>
        </w:tc>
        <w:tc>
          <w:tcPr>
            <w:tcW w:w="440" w:type="dxa"/>
            <w:tcBorders>
              <w:top w:val="single" w:sz="8" w:space="0" w:color="000000"/>
              <w:left w:val="single" w:sz="8" w:space="0" w:color="000000"/>
              <w:bottom w:val="single" w:sz="8" w:space="0" w:color="000000"/>
              <w:right w:val="single" w:sz="8" w:space="0" w:color="000000"/>
            </w:tcBorders>
            <w:hideMark/>
          </w:tcPr>
          <w:p w14:paraId="5E3E5D3E" w14:textId="77777777" w:rsidR="00B41658" w:rsidRPr="00B86506" w:rsidRDefault="00B41658" w:rsidP="008465D3">
            <w:pPr>
              <w:spacing w:before="100" w:after="100"/>
              <w:ind w:left="60" w:right="60"/>
              <w:jc w:val="center"/>
            </w:pPr>
            <w:r>
              <w:t>5</w:t>
            </w:r>
          </w:p>
        </w:tc>
        <w:tc>
          <w:tcPr>
            <w:tcW w:w="440" w:type="dxa"/>
            <w:tcBorders>
              <w:top w:val="single" w:sz="8" w:space="0" w:color="000000"/>
              <w:left w:val="single" w:sz="8" w:space="0" w:color="000000"/>
              <w:bottom w:val="single" w:sz="8" w:space="0" w:color="000000"/>
              <w:right w:val="single" w:sz="8" w:space="0" w:color="000000"/>
            </w:tcBorders>
            <w:hideMark/>
          </w:tcPr>
          <w:p w14:paraId="198C0ABD" w14:textId="77777777" w:rsidR="00B41658" w:rsidRPr="00B86506" w:rsidRDefault="00B41658" w:rsidP="008465D3">
            <w:pPr>
              <w:spacing w:before="100" w:after="100"/>
              <w:ind w:left="60" w:right="60"/>
              <w:jc w:val="center"/>
            </w:pPr>
            <w:r>
              <w:t>6</w:t>
            </w:r>
          </w:p>
        </w:tc>
        <w:tc>
          <w:tcPr>
            <w:tcW w:w="440" w:type="dxa"/>
            <w:tcBorders>
              <w:top w:val="single" w:sz="8" w:space="0" w:color="000000"/>
              <w:left w:val="single" w:sz="8" w:space="0" w:color="000000"/>
              <w:bottom w:val="single" w:sz="8" w:space="0" w:color="000000"/>
              <w:right w:val="single" w:sz="8" w:space="0" w:color="000000"/>
            </w:tcBorders>
            <w:hideMark/>
          </w:tcPr>
          <w:p w14:paraId="2C84A7C3" w14:textId="77777777" w:rsidR="00B41658" w:rsidRPr="00B86506" w:rsidRDefault="00B41658" w:rsidP="008465D3">
            <w:pPr>
              <w:spacing w:before="100" w:after="100"/>
              <w:ind w:left="60" w:right="60"/>
              <w:jc w:val="center"/>
            </w:pPr>
            <w:r>
              <w:t>7</w:t>
            </w:r>
          </w:p>
        </w:tc>
        <w:tc>
          <w:tcPr>
            <w:tcW w:w="862" w:type="dxa"/>
            <w:tcBorders>
              <w:top w:val="single" w:sz="8" w:space="0" w:color="000000"/>
              <w:left w:val="single" w:sz="8" w:space="0" w:color="000000"/>
              <w:bottom w:val="single" w:sz="8" w:space="0" w:color="000000"/>
              <w:right w:val="single" w:sz="8" w:space="0" w:color="000000"/>
            </w:tcBorders>
            <w:hideMark/>
          </w:tcPr>
          <w:p w14:paraId="7824B908" w14:textId="77777777" w:rsidR="00B41658" w:rsidRPr="00B86506" w:rsidRDefault="00B41658" w:rsidP="008465D3">
            <w:pPr>
              <w:spacing w:before="100" w:after="100"/>
              <w:ind w:left="60" w:right="60"/>
              <w:jc w:val="center"/>
            </w:pPr>
            <w:r>
              <w:t>8</w:t>
            </w:r>
          </w:p>
        </w:tc>
        <w:tc>
          <w:tcPr>
            <w:tcW w:w="851" w:type="dxa"/>
            <w:tcBorders>
              <w:top w:val="single" w:sz="8" w:space="0" w:color="000000"/>
              <w:left w:val="single" w:sz="8" w:space="0" w:color="000000"/>
              <w:bottom w:val="single" w:sz="8" w:space="0" w:color="000000"/>
              <w:right w:val="single" w:sz="8" w:space="0" w:color="000000"/>
            </w:tcBorders>
          </w:tcPr>
          <w:p w14:paraId="33DB55E7" w14:textId="77777777" w:rsidR="00B41658" w:rsidRPr="00B86506" w:rsidRDefault="00B41658" w:rsidP="008465D3">
            <w:pPr>
              <w:spacing w:before="100" w:after="100"/>
              <w:ind w:left="60" w:right="60"/>
              <w:jc w:val="center"/>
            </w:pPr>
            <w:r>
              <w:t>9</w:t>
            </w:r>
          </w:p>
        </w:tc>
        <w:tc>
          <w:tcPr>
            <w:tcW w:w="992" w:type="dxa"/>
            <w:tcBorders>
              <w:top w:val="single" w:sz="8" w:space="0" w:color="000000"/>
              <w:left w:val="single" w:sz="8" w:space="0" w:color="000000"/>
              <w:bottom w:val="single" w:sz="8" w:space="0" w:color="000000"/>
              <w:right w:val="single" w:sz="8" w:space="0" w:color="000000"/>
            </w:tcBorders>
          </w:tcPr>
          <w:p w14:paraId="007B4B46" w14:textId="77777777" w:rsidR="00B41658" w:rsidRPr="00B86506" w:rsidRDefault="00B41658" w:rsidP="008465D3">
            <w:pPr>
              <w:spacing w:before="100" w:after="100"/>
              <w:ind w:left="60" w:right="60"/>
              <w:jc w:val="center"/>
            </w:pPr>
            <w:r w:rsidRPr="00B86506">
              <w:t>1</w:t>
            </w:r>
            <w:r>
              <w:t>0</w:t>
            </w:r>
          </w:p>
        </w:tc>
        <w:tc>
          <w:tcPr>
            <w:tcW w:w="992" w:type="dxa"/>
            <w:tcBorders>
              <w:top w:val="single" w:sz="8" w:space="0" w:color="000000"/>
              <w:left w:val="single" w:sz="8" w:space="0" w:color="000000"/>
              <w:bottom w:val="single" w:sz="8" w:space="0" w:color="000000"/>
              <w:right w:val="single" w:sz="8" w:space="0" w:color="000000"/>
            </w:tcBorders>
            <w:hideMark/>
          </w:tcPr>
          <w:p w14:paraId="1503736E" w14:textId="77777777" w:rsidR="00B41658" w:rsidRPr="00A33352" w:rsidRDefault="00B41658" w:rsidP="008465D3">
            <w:pPr>
              <w:spacing w:before="100" w:after="100"/>
              <w:ind w:left="60" w:right="60"/>
              <w:jc w:val="center"/>
            </w:pPr>
            <w:r w:rsidRPr="00A33352">
              <w:t>11</w:t>
            </w:r>
          </w:p>
        </w:tc>
        <w:tc>
          <w:tcPr>
            <w:tcW w:w="992" w:type="dxa"/>
            <w:tcBorders>
              <w:top w:val="single" w:sz="8" w:space="0" w:color="000000"/>
              <w:left w:val="single" w:sz="8" w:space="0" w:color="000000"/>
              <w:bottom w:val="single" w:sz="8" w:space="0" w:color="000000"/>
              <w:right w:val="single" w:sz="8" w:space="0" w:color="000000"/>
            </w:tcBorders>
            <w:hideMark/>
          </w:tcPr>
          <w:p w14:paraId="407002E0" w14:textId="77777777" w:rsidR="00B41658" w:rsidRPr="00B86506" w:rsidRDefault="00B41658" w:rsidP="008465D3">
            <w:pPr>
              <w:spacing w:before="100" w:after="100"/>
              <w:ind w:left="60" w:right="60"/>
              <w:jc w:val="center"/>
            </w:pPr>
            <w:r w:rsidRPr="00B86506">
              <w:t>1</w:t>
            </w:r>
            <w:r>
              <w:t>2</w:t>
            </w:r>
          </w:p>
        </w:tc>
        <w:tc>
          <w:tcPr>
            <w:tcW w:w="854" w:type="dxa"/>
            <w:tcBorders>
              <w:top w:val="single" w:sz="8" w:space="0" w:color="000000"/>
              <w:left w:val="single" w:sz="8" w:space="0" w:color="000000"/>
              <w:bottom w:val="single" w:sz="8" w:space="0" w:color="000000"/>
              <w:right w:val="single" w:sz="8" w:space="0" w:color="000000"/>
            </w:tcBorders>
            <w:hideMark/>
          </w:tcPr>
          <w:p w14:paraId="242B2E65" w14:textId="77777777" w:rsidR="00B41658" w:rsidRPr="00B86506" w:rsidRDefault="00B41658" w:rsidP="008465D3">
            <w:pPr>
              <w:spacing w:before="100" w:after="100"/>
              <w:ind w:left="60" w:right="60"/>
              <w:jc w:val="center"/>
            </w:pPr>
            <w:r w:rsidRPr="00B86506">
              <w:t>1</w:t>
            </w:r>
            <w:r>
              <w:t>3</w:t>
            </w:r>
          </w:p>
        </w:tc>
        <w:tc>
          <w:tcPr>
            <w:tcW w:w="850" w:type="dxa"/>
            <w:tcBorders>
              <w:top w:val="single" w:sz="8" w:space="0" w:color="000000"/>
              <w:left w:val="single" w:sz="8" w:space="0" w:color="000000"/>
              <w:bottom w:val="single" w:sz="8" w:space="0" w:color="000000"/>
              <w:right w:val="single" w:sz="8" w:space="0" w:color="000000"/>
            </w:tcBorders>
            <w:hideMark/>
          </w:tcPr>
          <w:p w14:paraId="279FA0C6" w14:textId="77777777" w:rsidR="00B41658" w:rsidRPr="00B86506" w:rsidRDefault="00B41658" w:rsidP="008465D3">
            <w:pPr>
              <w:spacing w:before="100" w:after="100"/>
              <w:ind w:left="60" w:right="60"/>
              <w:jc w:val="center"/>
            </w:pPr>
            <w:r w:rsidRPr="00B86506">
              <w:t>1</w:t>
            </w:r>
            <w:r>
              <w:t>4</w:t>
            </w:r>
          </w:p>
        </w:tc>
        <w:tc>
          <w:tcPr>
            <w:tcW w:w="851" w:type="dxa"/>
            <w:tcBorders>
              <w:top w:val="single" w:sz="8" w:space="0" w:color="000000"/>
              <w:left w:val="single" w:sz="8" w:space="0" w:color="000000"/>
              <w:bottom w:val="single" w:sz="8" w:space="0" w:color="000000"/>
              <w:right w:val="single" w:sz="8" w:space="0" w:color="000000"/>
            </w:tcBorders>
            <w:hideMark/>
          </w:tcPr>
          <w:p w14:paraId="31E79BBB" w14:textId="77777777" w:rsidR="00B41658" w:rsidRPr="00B86506" w:rsidRDefault="00B41658" w:rsidP="008465D3">
            <w:pPr>
              <w:spacing w:before="100" w:after="100"/>
              <w:ind w:left="60" w:right="60"/>
              <w:jc w:val="center"/>
            </w:pPr>
            <w:r w:rsidRPr="00B86506">
              <w:t>1</w:t>
            </w:r>
            <w:r>
              <w:t>5</w:t>
            </w:r>
          </w:p>
        </w:tc>
        <w:tc>
          <w:tcPr>
            <w:tcW w:w="1134" w:type="dxa"/>
            <w:tcBorders>
              <w:top w:val="single" w:sz="8" w:space="0" w:color="000000"/>
              <w:left w:val="single" w:sz="8" w:space="0" w:color="000000"/>
              <w:bottom w:val="single" w:sz="8" w:space="0" w:color="000000"/>
              <w:right w:val="single" w:sz="8" w:space="0" w:color="000000"/>
            </w:tcBorders>
            <w:hideMark/>
          </w:tcPr>
          <w:p w14:paraId="1D4E1992" w14:textId="77777777" w:rsidR="00B41658" w:rsidRPr="00B86506" w:rsidRDefault="00B41658" w:rsidP="008465D3">
            <w:pPr>
              <w:spacing w:before="100" w:after="100"/>
              <w:ind w:left="60" w:right="60"/>
              <w:jc w:val="center"/>
            </w:pPr>
            <w:r w:rsidRPr="00B86506">
              <w:t>1</w:t>
            </w:r>
            <w:r>
              <w:t>6</w:t>
            </w:r>
          </w:p>
        </w:tc>
        <w:tc>
          <w:tcPr>
            <w:tcW w:w="1701" w:type="dxa"/>
            <w:tcBorders>
              <w:top w:val="single" w:sz="8" w:space="0" w:color="000000"/>
              <w:left w:val="single" w:sz="8" w:space="0" w:color="000000"/>
              <w:bottom w:val="single" w:sz="8" w:space="0" w:color="000000"/>
              <w:right w:val="single" w:sz="8" w:space="0" w:color="000000"/>
            </w:tcBorders>
            <w:hideMark/>
          </w:tcPr>
          <w:p w14:paraId="5837B833" w14:textId="77777777" w:rsidR="00B41658" w:rsidRPr="00985873" w:rsidRDefault="00B41658" w:rsidP="008465D3">
            <w:pPr>
              <w:spacing w:before="100" w:after="100"/>
              <w:ind w:left="60" w:right="60"/>
              <w:jc w:val="center"/>
              <w:rPr>
                <w:highlight w:val="yellow"/>
              </w:rPr>
            </w:pPr>
            <w:r w:rsidRPr="00B86506">
              <w:t>1</w:t>
            </w:r>
            <w:r>
              <w:t>7</w:t>
            </w:r>
            <w:bookmarkStart w:id="3" w:name="p103"/>
            <w:bookmarkEnd w:id="3"/>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6CA26546" w14:textId="77777777" w:rsidR="00B41658" w:rsidRPr="00B86506" w:rsidRDefault="00B41658" w:rsidP="008465D3">
            <w:pPr>
              <w:jc w:val="center"/>
            </w:pPr>
            <w:r>
              <w:t>18</w:t>
            </w:r>
          </w:p>
        </w:tc>
      </w:tr>
      <w:tr w:rsidR="00B41658" w:rsidRPr="00B86506" w14:paraId="24745DD6" w14:textId="77777777" w:rsidTr="008465D3">
        <w:trPr>
          <w:trHeight w:val="60"/>
        </w:trPr>
        <w:tc>
          <w:tcPr>
            <w:tcW w:w="485" w:type="dxa"/>
            <w:vMerge w:val="restart"/>
            <w:tcBorders>
              <w:top w:val="single" w:sz="8" w:space="0" w:color="000000"/>
              <w:left w:val="single" w:sz="8" w:space="0" w:color="000000"/>
              <w:bottom w:val="single" w:sz="8" w:space="0" w:color="000000"/>
              <w:right w:val="single" w:sz="8" w:space="0" w:color="000000"/>
            </w:tcBorders>
            <w:vAlign w:val="center"/>
            <w:hideMark/>
          </w:tcPr>
          <w:p w14:paraId="79EC12FE" w14:textId="77777777" w:rsidR="00B41658" w:rsidRPr="00B86506" w:rsidRDefault="00B41658" w:rsidP="008465D3">
            <w:pPr>
              <w:spacing w:before="100" w:after="100"/>
              <w:ind w:left="60" w:right="60"/>
              <w:jc w:val="center"/>
            </w:pPr>
            <w:r w:rsidRPr="00B86506">
              <w:t>1.1</w:t>
            </w:r>
          </w:p>
        </w:tc>
        <w:tc>
          <w:tcPr>
            <w:tcW w:w="485" w:type="dxa"/>
            <w:vMerge w:val="restart"/>
            <w:tcBorders>
              <w:top w:val="single" w:sz="8" w:space="0" w:color="000000"/>
              <w:left w:val="single" w:sz="8" w:space="0" w:color="000000"/>
              <w:bottom w:val="single" w:sz="8" w:space="0" w:color="000000"/>
              <w:right w:val="single" w:sz="8" w:space="0" w:color="000000"/>
            </w:tcBorders>
            <w:vAlign w:val="center"/>
            <w:hideMark/>
          </w:tcPr>
          <w:p w14:paraId="70A193A8" w14:textId="77777777" w:rsidR="00B41658" w:rsidRPr="00B86506" w:rsidRDefault="00B41658" w:rsidP="008465D3">
            <w:pPr>
              <w:spacing w:before="100" w:after="100"/>
              <w:ind w:left="60" w:right="60"/>
              <w:jc w:val="center"/>
            </w:pPr>
            <w:r w:rsidRPr="00B86506">
              <w:t>1.2</w:t>
            </w:r>
          </w:p>
        </w:tc>
        <w:tc>
          <w:tcPr>
            <w:tcW w:w="486" w:type="dxa"/>
            <w:vMerge w:val="restart"/>
            <w:tcBorders>
              <w:top w:val="single" w:sz="8" w:space="0" w:color="000000"/>
              <w:left w:val="single" w:sz="8" w:space="0" w:color="000000"/>
              <w:right w:val="single" w:sz="8" w:space="0" w:color="000000"/>
            </w:tcBorders>
            <w:vAlign w:val="center"/>
            <w:hideMark/>
          </w:tcPr>
          <w:p w14:paraId="01AA77C4" w14:textId="77777777" w:rsidR="00B41658" w:rsidRPr="00985873" w:rsidRDefault="00B41658" w:rsidP="008465D3">
            <w:pPr>
              <w:spacing w:before="100" w:after="100"/>
              <w:ind w:left="60" w:right="60"/>
              <w:jc w:val="center"/>
              <w:rPr>
                <w:highlight w:val="yellow"/>
              </w:rPr>
            </w:pPr>
            <w:r w:rsidRPr="00B86506">
              <w:t>1.3</w:t>
            </w:r>
          </w:p>
        </w:tc>
        <w:tc>
          <w:tcPr>
            <w:tcW w:w="440" w:type="dxa"/>
            <w:vMerge w:val="restart"/>
            <w:tcBorders>
              <w:top w:val="single" w:sz="8" w:space="0" w:color="000000"/>
              <w:left w:val="single" w:sz="8" w:space="0" w:color="000000"/>
              <w:bottom w:val="single" w:sz="8" w:space="0" w:color="000000"/>
              <w:right w:val="single" w:sz="8" w:space="0" w:color="000000"/>
            </w:tcBorders>
            <w:vAlign w:val="center"/>
            <w:hideMark/>
          </w:tcPr>
          <w:p w14:paraId="03C144B1" w14:textId="77777777" w:rsidR="00B41658" w:rsidRPr="00B86506" w:rsidRDefault="00B41658" w:rsidP="008465D3">
            <w:pPr>
              <w:spacing w:before="100" w:after="100"/>
              <w:ind w:left="60" w:right="60"/>
              <w:jc w:val="center"/>
            </w:pPr>
            <w:r w:rsidRPr="00B86506">
              <w:t>2.1</w:t>
            </w:r>
          </w:p>
        </w:tc>
        <w:tc>
          <w:tcPr>
            <w:tcW w:w="440" w:type="dxa"/>
            <w:vMerge w:val="restart"/>
            <w:tcBorders>
              <w:top w:val="single" w:sz="8" w:space="0" w:color="000000"/>
              <w:left w:val="single" w:sz="8" w:space="0" w:color="000000"/>
              <w:bottom w:val="single" w:sz="8" w:space="0" w:color="000000"/>
              <w:right w:val="single" w:sz="8" w:space="0" w:color="000000"/>
            </w:tcBorders>
            <w:vAlign w:val="center"/>
            <w:hideMark/>
          </w:tcPr>
          <w:p w14:paraId="2874ED68" w14:textId="77777777" w:rsidR="00B41658" w:rsidRPr="00B86506" w:rsidRDefault="00B41658" w:rsidP="008465D3">
            <w:pPr>
              <w:spacing w:before="100" w:after="100"/>
              <w:ind w:left="60" w:right="60"/>
              <w:jc w:val="center"/>
            </w:pPr>
            <w:r w:rsidRPr="00B86506">
              <w:t>2.2</w:t>
            </w:r>
          </w:p>
        </w:tc>
        <w:tc>
          <w:tcPr>
            <w:tcW w:w="440" w:type="dxa"/>
            <w:vMerge w:val="restart"/>
            <w:tcBorders>
              <w:top w:val="single" w:sz="8" w:space="0" w:color="000000"/>
              <w:left w:val="single" w:sz="8" w:space="0" w:color="000000"/>
              <w:bottom w:val="single" w:sz="8" w:space="0" w:color="000000"/>
              <w:right w:val="single" w:sz="8" w:space="0" w:color="000000"/>
            </w:tcBorders>
            <w:vAlign w:val="center"/>
            <w:hideMark/>
          </w:tcPr>
          <w:p w14:paraId="28C4749B" w14:textId="77777777" w:rsidR="00B41658" w:rsidRPr="00B86506" w:rsidRDefault="00B41658" w:rsidP="008465D3">
            <w:pPr>
              <w:spacing w:before="100" w:after="100"/>
              <w:ind w:left="60" w:right="60"/>
              <w:jc w:val="center"/>
            </w:pPr>
            <w:r w:rsidRPr="00B86506">
              <w:t>2.3</w:t>
            </w:r>
          </w:p>
        </w:tc>
        <w:tc>
          <w:tcPr>
            <w:tcW w:w="440" w:type="dxa"/>
            <w:vMerge w:val="restart"/>
            <w:tcBorders>
              <w:top w:val="single" w:sz="8" w:space="0" w:color="000000"/>
              <w:left w:val="single" w:sz="8" w:space="0" w:color="000000"/>
              <w:bottom w:val="single" w:sz="8" w:space="0" w:color="000000"/>
              <w:right w:val="single" w:sz="8" w:space="0" w:color="000000"/>
            </w:tcBorders>
            <w:vAlign w:val="center"/>
            <w:hideMark/>
          </w:tcPr>
          <w:p w14:paraId="13BA33FE" w14:textId="77777777" w:rsidR="00B41658" w:rsidRPr="00B86506" w:rsidRDefault="00B41658" w:rsidP="008465D3">
            <w:pPr>
              <w:spacing w:before="100" w:after="100"/>
              <w:ind w:left="60" w:right="60"/>
              <w:jc w:val="center"/>
            </w:pPr>
            <w:r w:rsidRPr="00B86506">
              <w:t>2.4</w:t>
            </w:r>
          </w:p>
        </w:tc>
        <w:tc>
          <w:tcPr>
            <w:tcW w:w="862" w:type="dxa"/>
            <w:tcBorders>
              <w:top w:val="single" w:sz="8" w:space="0" w:color="000000"/>
              <w:left w:val="single" w:sz="8" w:space="0" w:color="000000"/>
              <w:bottom w:val="single" w:sz="8" w:space="0" w:color="000000"/>
              <w:right w:val="single" w:sz="8" w:space="0" w:color="000000"/>
            </w:tcBorders>
            <w:hideMark/>
          </w:tcPr>
          <w:p w14:paraId="696952A7" w14:textId="77777777" w:rsidR="00B41658" w:rsidRPr="00B86506" w:rsidRDefault="00B41658" w:rsidP="008465D3">
            <w:pPr>
              <w:spacing w:before="100" w:after="100"/>
              <w:ind w:left="60" w:right="60"/>
              <w:jc w:val="center"/>
            </w:pPr>
            <w:r w:rsidRPr="00B86506">
              <w:t>3.1</w:t>
            </w:r>
          </w:p>
        </w:tc>
        <w:tc>
          <w:tcPr>
            <w:tcW w:w="851" w:type="dxa"/>
            <w:tcBorders>
              <w:top w:val="single" w:sz="8" w:space="0" w:color="000000"/>
              <w:left w:val="single" w:sz="8" w:space="0" w:color="000000"/>
              <w:bottom w:val="single" w:sz="8" w:space="0" w:color="000000"/>
              <w:right w:val="single" w:sz="8" w:space="0" w:color="000000"/>
            </w:tcBorders>
          </w:tcPr>
          <w:p w14:paraId="0894BBC8" w14:textId="77777777" w:rsidR="00B41658" w:rsidRPr="00B86506" w:rsidRDefault="00B41658" w:rsidP="008465D3">
            <w:pPr>
              <w:spacing w:before="100" w:after="100"/>
              <w:ind w:left="60" w:right="60"/>
              <w:jc w:val="center"/>
            </w:pPr>
            <w:r w:rsidRPr="00B86506">
              <w:t>3.2</w:t>
            </w:r>
          </w:p>
        </w:tc>
        <w:tc>
          <w:tcPr>
            <w:tcW w:w="992" w:type="dxa"/>
            <w:tcBorders>
              <w:top w:val="single" w:sz="8" w:space="0" w:color="000000"/>
              <w:left w:val="single" w:sz="8" w:space="0" w:color="000000"/>
              <w:bottom w:val="single" w:sz="8" w:space="0" w:color="000000"/>
              <w:right w:val="single" w:sz="8" w:space="0" w:color="000000"/>
            </w:tcBorders>
          </w:tcPr>
          <w:p w14:paraId="4CF4A10D" w14:textId="77777777" w:rsidR="00B41658" w:rsidRPr="00B86506" w:rsidRDefault="00B41658" w:rsidP="008465D3">
            <w:pPr>
              <w:spacing w:before="100" w:after="100"/>
              <w:ind w:left="60" w:right="60"/>
              <w:jc w:val="center"/>
            </w:pPr>
            <w:r w:rsidRPr="00B86506">
              <w:t>3.3</w:t>
            </w:r>
            <w:r>
              <w:t xml:space="preserve"> </w:t>
            </w:r>
          </w:p>
        </w:tc>
        <w:tc>
          <w:tcPr>
            <w:tcW w:w="992" w:type="dxa"/>
            <w:tcBorders>
              <w:top w:val="single" w:sz="8" w:space="0" w:color="000000"/>
              <w:left w:val="single" w:sz="8" w:space="0" w:color="000000"/>
              <w:bottom w:val="single" w:sz="8" w:space="0" w:color="000000"/>
              <w:right w:val="single" w:sz="8" w:space="0" w:color="000000"/>
            </w:tcBorders>
            <w:hideMark/>
          </w:tcPr>
          <w:p w14:paraId="5FD34ECE" w14:textId="77777777" w:rsidR="00B41658" w:rsidRPr="00A33352" w:rsidRDefault="00B41658" w:rsidP="008465D3">
            <w:pPr>
              <w:spacing w:before="100" w:after="100"/>
              <w:ind w:left="60" w:right="60"/>
              <w:jc w:val="center"/>
            </w:pPr>
            <w:r w:rsidRPr="00A33352">
              <w:t>3.4</w:t>
            </w:r>
          </w:p>
        </w:tc>
        <w:tc>
          <w:tcPr>
            <w:tcW w:w="992" w:type="dxa"/>
            <w:tcBorders>
              <w:top w:val="single" w:sz="8" w:space="0" w:color="000000"/>
              <w:left w:val="single" w:sz="8" w:space="0" w:color="000000"/>
              <w:bottom w:val="single" w:sz="8" w:space="0" w:color="000000"/>
              <w:right w:val="single" w:sz="8" w:space="0" w:color="000000"/>
            </w:tcBorders>
            <w:vAlign w:val="center"/>
            <w:hideMark/>
          </w:tcPr>
          <w:p w14:paraId="488321EE" w14:textId="77777777" w:rsidR="00B41658" w:rsidRPr="00B86506" w:rsidRDefault="00B41658" w:rsidP="008465D3">
            <w:pPr>
              <w:spacing w:before="100" w:after="100"/>
              <w:ind w:left="60" w:right="60"/>
              <w:jc w:val="center"/>
            </w:pPr>
            <w:r w:rsidRPr="00B86506">
              <w:t>3.</w:t>
            </w:r>
            <w:r>
              <w:t>5</w:t>
            </w:r>
          </w:p>
        </w:tc>
        <w:tc>
          <w:tcPr>
            <w:tcW w:w="854" w:type="dxa"/>
            <w:vMerge w:val="restart"/>
            <w:tcBorders>
              <w:top w:val="single" w:sz="8" w:space="0" w:color="000000"/>
              <w:left w:val="single" w:sz="8" w:space="0" w:color="000000"/>
              <w:right w:val="single" w:sz="4" w:space="0" w:color="auto"/>
            </w:tcBorders>
            <w:vAlign w:val="center"/>
            <w:hideMark/>
          </w:tcPr>
          <w:p w14:paraId="69B99348" w14:textId="77777777" w:rsidR="00B41658" w:rsidRPr="00B86506" w:rsidRDefault="00B41658" w:rsidP="008465D3">
            <w:pPr>
              <w:spacing w:before="100" w:after="100"/>
              <w:ind w:left="60" w:right="60"/>
              <w:jc w:val="center"/>
            </w:pPr>
            <w:r w:rsidRPr="00B86506">
              <w:t>4.1</w:t>
            </w:r>
          </w:p>
        </w:tc>
        <w:tc>
          <w:tcPr>
            <w:tcW w:w="850" w:type="dxa"/>
            <w:vMerge w:val="restart"/>
            <w:tcBorders>
              <w:top w:val="single" w:sz="8" w:space="0" w:color="000000"/>
              <w:left w:val="single" w:sz="4" w:space="0" w:color="auto"/>
              <w:right w:val="single" w:sz="4" w:space="0" w:color="auto"/>
            </w:tcBorders>
            <w:vAlign w:val="center"/>
            <w:hideMark/>
          </w:tcPr>
          <w:p w14:paraId="0F54199C" w14:textId="77777777" w:rsidR="00B41658" w:rsidRPr="00B86506" w:rsidRDefault="00B41658" w:rsidP="008465D3">
            <w:pPr>
              <w:spacing w:before="100" w:after="100"/>
              <w:ind w:left="60" w:right="60"/>
              <w:jc w:val="center"/>
            </w:pPr>
            <w:r w:rsidRPr="00B86506">
              <w:t>4.2</w:t>
            </w:r>
          </w:p>
        </w:tc>
        <w:tc>
          <w:tcPr>
            <w:tcW w:w="851" w:type="dxa"/>
            <w:vMerge w:val="restart"/>
            <w:tcBorders>
              <w:top w:val="single" w:sz="8" w:space="0" w:color="000000"/>
              <w:left w:val="single" w:sz="4" w:space="0" w:color="auto"/>
              <w:right w:val="single" w:sz="4" w:space="0" w:color="auto"/>
            </w:tcBorders>
            <w:vAlign w:val="center"/>
            <w:hideMark/>
          </w:tcPr>
          <w:p w14:paraId="28673117" w14:textId="77777777" w:rsidR="00B41658" w:rsidRPr="00B86506" w:rsidRDefault="00B41658" w:rsidP="008465D3">
            <w:pPr>
              <w:spacing w:before="100" w:after="100"/>
              <w:ind w:left="60" w:right="60"/>
              <w:jc w:val="center"/>
            </w:pPr>
            <w:r w:rsidRPr="00B86506">
              <w:t>4.3</w:t>
            </w:r>
          </w:p>
        </w:tc>
        <w:tc>
          <w:tcPr>
            <w:tcW w:w="1134" w:type="dxa"/>
            <w:vMerge w:val="restart"/>
            <w:tcBorders>
              <w:top w:val="single" w:sz="8" w:space="0" w:color="000000"/>
              <w:left w:val="single" w:sz="4" w:space="0" w:color="auto"/>
              <w:right w:val="single" w:sz="4" w:space="0" w:color="auto"/>
            </w:tcBorders>
            <w:vAlign w:val="center"/>
            <w:hideMark/>
          </w:tcPr>
          <w:p w14:paraId="19D31AC5" w14:textId="77777777" w:rsidR="00B41658" w:rsidRPr="00B86506" w:rsidRDefault="00B41658" w:rsidP="008465D3">
            <w:pPr>
              <w:spacing w:before="100" w:after="100"/>
              <w:ind w:left="60" w:right="60"/>
              <w:jc w:val="center"/>
            </w:pPr>
            <w:r w:rsidRPr="00B86506">
              <w:t>4.4</w:t>
            </w:r>
          </w:p>
        </w:tc>
        <w:tc>
          <w:tcPr>
            <w:tcW w:w="1701" w:type="dxa"/>
            <w:vMerge w:val="restart"/>
            <w:tcBorders>
              <w:top w:val="single" w:sz="8" w:space="0" w:color="000000"/>
              <w:left w:val="single" w:sz="4" w:space="0" w:color="auto"/>
              <w:right w:val="single" w:sz="4" w:space="0" w:color="auto"/>
            </w:tcBorders>
            <w:vAlign w:val="center"/>
            <w:hideMark/>
          </w:tcPr>
          <w:p w14:paraId="52B6C21F" w14:textId="77777777" w:rsidR="00B41658" w:rsidRPr="00985873" w:rsidRDefault="00B41658" w:rsidP="008465D3">
            <w:pPr>
              <w:spacing w:before="100" w:after="100"/>
              <w:ind w:left="60" w:right="60"/>
              <w:jc w:val="center"/>
              <w:rPr>
                <w:highlight w:val="yellow"/>
              </w:rPr>
            </w:pPr>
            <w:r w:rsidRPr="00B86506">
              <w:t>5.1</w:t>
            </w:r>
          </w:p>
        </w:tc>
        <w:tc>
          <w:tcPr>
            <w:tcW w:w="1701" w:type="dxa"/>
            <w:vMerge w:val="restart"/>
            <w:tcBorders>
              <w:top w:val="single" w:sz="8" w:space="0" w:color="000000"/>
              <w:left w:val="single" w:sz="4" w:space="0" w:color="auto"/>
              <w:right w:val="single" w:sz="8" w:space="0" w:color="000000"/>
            </w:tcBorders>
            <w:vAlign w:val="center"/>
            <w:hideMark/>
          </w:tcPr>
          <w:p w14:paraId="4841EED6" w14:textId="77777777" w:rsidR="00B41658" w:rsidRPr="00B86506" w:rsidRDefault="00B41658" w:rsidP="008465D3"/>
        </w:tc>
      </w:tr>
      <w:tr w:rsidR="00B41658" w:rsidRPr="00B86506" w14:paraId="08E22388" w14:textId="77777777" w:rsidTr="008465D3">
        <w:tc>
          <w:tcPr>
            <w:tcW w:w="485" w:type="dxa"/>
            <w:vMerge/>
            <w:tcBorders>
              <w:top w:val="single" w:sz="8" w:space="0" w:color="000000"/>
              <w:left w:val="single" w:sz="8" w:space="0" w:color="000000"/>
              <w:bottom w:val="single" w:sz="8" w:space="0" w:color="000000"/>
              <w:right w:val="single" w:sz="8" w:space="0" w:color="000000"/>
            </w:tcBorders>
            <w:vAlign w:val="center"/>
            <w:hideMark/>
          </w:tcPr>
          <w:p w14:paraId="1F40A945" w14:textId="77777777" w:rsidR="00B41658" w:rsidRPr="00B86506" w:rsidRDefault="00B41658" w:rsidP="008465D3"/>
        </w:tc>
        <w:tc>
          <w:tcPr>
            <w:tcW w:w="485" w:type="dxa"/>
            <w:vMerge/>
            <w:tcBorders>
              <w:top w:val="single" w:sz="8" w:space="0" w:color="000000"/>
              <w:left w:val="single" w:sz="8" w:space="0" w:color="000000"/>
              <w:bottom w:val="single" w:sz="8" w:space="0" w:color="000000"/>
              <w:right w:val="single" w:sz="8" w:space="0" w:color="000000"/>
            </w:tcBorders>
            <w:vAlign w:val="center"/>
            <w:hideMark/>
          </w:tcPr>
          <w:p w14:paraId="0EAA7D55" w14:textId="77777777" w:rsidR="00B41658" w:rsidRPr="00B86506" w:rsidRDefault="00B41658" w:rsidP="008465D3"/>
        </w:tc>
        <w:tc>
          <w:tcPr>
            <w:tcW w:w="486" w:type="dxa"/>
            <w:vMerge/>
            <w:tcBorders>
              <w:left w:val="single" w:sz="8" w:space="0" w:color="000000"/>
              <w:bottom w:val="single" w:sz="8" w:space="0" w:color="000000"/>
              <w:right w:val="single" w:sz="8" w:space="0" w:color="000000"/>
            </w:tcBorders>
            <w:vAlign w:val="center"/>
            <w:hideMark/>
          </w:tcPr>
          <w:p w14:paraId="3D96E15F" w14:textId="77777777" w:rsidR="00B41658" w:rsidRPr="00B86506" w:rsidRDefault="00B41658" w:rsidP="008465D3"/>
        </w:tc>
        <w:tc>
          <w:tcPr>
            <w:tcW w:w="440" w:type="dxa"/>
            <w:vMerge/>
            <w:tcBorders>
              <w:top w:val="single" w:sz="8" w:space="0" w:color="000000"/>
              <w:left w:val="single" w:sz="8" w:space="0" w:color="000000"/>
              <w:bottom w:val="single" w:sz="8" w:space="0" w:color="000000"/>
              <w:right w:val="single" w:sz="8" w:space="0" w:color="000000"/>
            </w:tcBorders>
            <w:vAlign w:val="center"/>
            <w:hideMark/>
          </w:tcPr>
          <w:p w14:paraId="6050DBE4" w14:textId="77777777" w:rsidR="00B41658" w:rsidRPr="00B86506" w:rsidRDefault="00B41658" w:rsidP="008465D3"/>
        </w:tc>
        <w:tc>
          <w:tcPr>
            <w:tcW w:w="440" w:type="dxa"/>
            <w:vMerge/>
            <w:tcBorders>
              <w:top w:val="single" w:sz="8" w:space="0" w:color="000000"/>
              <w:left w:val="single" w:sz="8" w:space="0" w:color="000000"/>
              <w:bottom w:val="single" w:sz="8" w:space="0" w:color="000000"/>
              <w:right w:val="single" w:sz="8" w:space="0" w:color="000000"/>
            </w:tcBorders>
            <w:vAlign w:val="center"/>
            <w:hideMark/>
          </w:tcPr>
          <w:p w14:paraId="1910A6A0" w14:textId="77777777" w:rsidR="00B41658" w:rsidRPr="00B86506" w:rsidRDefault="00B41658" w:rsidP="008465D3"/>
        </w:tc>
        <w:tc>
          <w:tcPr>
            <w:tcW w:w="440" w:type="dxa"/>
            <w:vMerge/>
            <w:tcBorders>
              <w:top w:val="single" w:sz="8" w:space="0" w:color="000000"/>
              <w:left w:val="single" w:sz="8" w:space="0" w:color="000000"/>
              <w:bottom w:val="single" w:sz="8" w:space="0" w:color="000000"/>
              <w:right w:val="single" w:sz="8" w:space="0" w:color="000000"/>
            </w:tcBorders>
            <w:vAlign w:val="center"/>
            <w:hideMark/>
          </w:tcPr>
          <w:p w14:paraId="2ED51813" w14:textId="77777777" w:rsidR="00B41658" w:rsidRPr="00B86506" w:rsidRDefault="00B41658" w:rsidP="008465D3"/>
        </w:tc>
        <w:tc>
          <w:tcPr>
            <w:tcW w:w="440" w:type="dxa"/>
            <w:vMerge/>
            <w:tcBorders>
              <w:top w:val="single" w:sz="8" w:space="0" w:color="000000"/>
              <w:left w:val="single" w:sz="8" w:space="0" w:color="000000"/>
              <w:bottom w:val="single" w:sz="8" w:space="0" w:color="000000"/>
              <w:right w:val="single" w:sz="8" w:space="0" w:color="000000"/>
            </w:tcBorders>
            <w:vAlign w:val="center"/>
            <w:hideMark/>
          </w:tcPr>
          <w:p w14:paraId="40096379" w14:textId="77777777" w:rsidR="00B41658" w:rsidRPr="00B86506" w:rsidRDefault="00B41658" w:rsidP="008465D3"/>
        </w:tc>
        <w:tc>
          <w:tcPr>
            <w:tcW w:w="4689" w:type="dxa"/>
            <w:gridSpan w:val="5"/>
            <w:tcBorders>
              <w:top w:val="single" w:sz="8" w:space="0" w:color="000000"/>
              <w:left w:val="single" w:sz="8" w:space="0" w:color="000000"/>
              <w:bottom w:val="single" w:sz="8" w:space="0" w:color="000000"/>
              <w:right w:val="single" w:sz="8" w:space="0" w:color="000000"/>
            </w:tcBorders>
          </w:tcPr>
          <w:p w14:paraId="4339F93D" w14:textId="77777777" w:rsidR="00B41658" w:rsidRPr="00B86506" w:rsidRDefault="00B41658" w:rsidP="008465D3">
            <w:pPr>
              <w:jc w:val="center"/>
            </w:pPr>
            <w:r w:rsidRPr="00B86506">
              <w:t xml:space="preserve">по указанным вопросам графы не заполняются в случае отсутствия </w:t>
            </w:r>
            <w:r>
              <w:t xml:space="preserve">соответствующих </w:t>
            </w:r>
            <w:r w:rsidRPr="00B86506">
              <w:t xml:space="preserve">подведомственных </w:t>
            </w:r>
            <w:r>
              <w:t>администраторов</w:t>
            </w:r>
            <w:r w:rsidRPr="00B86506">
              <w:t xml:space="preserve"> бюджетных средств</w:t>
            </w:r>
          </w:p>
        </w:tc>
        <w:tc>
          <w:tcPr>
            <w:tcW w:w="854" w:type="dxa"/>
            <w:vMerge/>
            <w:tcBorders>
              <w:left w:val="single" w:sz="8" w:space="0" w:color="000000"/>
              <w:bottom w:val="single" w:sz="8" w:space="0" w:color="000000"/>
              <w:right w:val="single" w:sz="4" w:space="0" w:color="auto"/>
            </w:tcBorders>
            <w:vAlign w:val="center"/>
            <w:hideMark/>
          </w:tcPr>
          <w:p w14:paraId="221B82A9" w14:textId="77777777" w:rsidR="00B41658" w:rsidRPr="00B86506" w:rsidRDefault="00B41658" w:rsidP="008465D3"/>
        </w:tc>
        <w:tc>
          <w:tcPr>
            <w:tcW w:w="850" w:type="dxa"/>
            <w:vMerge/>
            <w:tcBorders>
              <w:left w:val="single" w:sz="4" w:space="0" w:color="auto"/>
              <w:bottom w:val="single" w:sz="8" w:space="0" w:color="000000"/>
              <w:right w:val="single" w:sz="4" w:space="0" w:color="auto"/>
            </w:tcBorders>
            <w:vAlign w:val="center"/>
            <w:hideMark/>
          </w:tcPr>
          <w:p w14:paraId="14705DA5" w14:textId="77777777" w:rsidR="00B41658" w:rsidRPr="00B86506" w:rsidRDefault="00B41658" w:rsidP="008465D3"/>
        </w:tc>
        <w:tc>
          <w:tcPr>
            <w:tcW w:w="851" w:type="dxa"/>
            <w:vMerge/>
            <w:tcBorders>
              <w:left w:val="single" w:sz="4" w:space="0" w:color="auto"/>
              <w:bottom w:val="single" w:sz="8" w:space="0" w:color="000000"/>
              <w:right w:val="single" w:sz="4" w:space="0" w:color="auto"/>
            </w:tcBorders>
            <w:vAlign w:val="center"/>
            <w:hideMark/>
          </w:tcPr>
          <w:p w14:paraId="35C54B06" w14:textId="77777777" w:rsidR="00B41658" w:rsidRPr="00B86506" w:rsidRDefault="00B41658" w:rsidP="008465D3"/>
        </w:tc>
        <w:tc>
          <w:tcPr>
            <w:tcW w:w="1134" w:type="dxa"/>
            <w:vMerge/>
            <w:tcBorders>
              <w:left w:val="single" w:sz="4" w:space="0" w:color="auto"/>
              <w:bottom w:val="single" w:sz="8" w:space="0" w:color="000000"/>
              <w:right w:val="single" w:sz="4" w:space="0" w:color="auto"/>
            </w:tcBorders>
            <w:vAlign w:val="center"/>
            <w:hideMark/>
          </w:tcPr>
          <w:p w14:paraId="6CDBF4FA" w14:textId="77777777" w:rsidR="00B41658" w:rsidRPr="00B86506" w:rsidRDefault="00B41658" w:rsidP="008465D3"/>
        </w:tc>
        <w:tc>
          <w:tcPr>
            <w:tcW w:w="1701" w:type="dxa"/>
            <w:vMerge/>
            <w:tcBorders>
              <w:left w:val="single" w:sz="4" w:space="0" w:color="auto"/>
              <w:bottom w:val="single" w:sz="8" w:space="0" w:color="000000"/>
              <w:right w:val="single" w:sz="4" w:space="0" w:color="auto"/>
            </w:tcBorders>
            <w:vAlign w:val="center"/>
            <w:hideMark/>
          </w:tcPr>
          <w:p w14:paraId="4D5205D1" w14:textId="77777777" w:rsidR="00B41658" w:rsidRPr="00B86506" w:rsidRDefault="00B41658" w:rsidP="008465D3"/>
        </w:tc>
        <w:tc>
          <w:tcPr>
            <w:tcW w:w="1701" w:type="dxa"/>
            <w:vMerge/>
            <w:tcBorders>
              <w:left w:val="single" w:sz="4" w:space="0" w:color="auto"/>
              <w:bottom w:val="single" w:sz="8" w:space="0" w:color="000000"/>
              <w:right w:val="single" w:sz="8" w:space="0" w:color="000000"/>
            </w:tcBorders>
            <w:vAlign w:val="center"/>
            <w:hideMark/>
          </w:tcPr>
          <w:p w14:paraId="5EB60B73" w14:textId="77777777" w:rsidR="00B41658" w:rsidRPr="00B86506" w:rsidRDefault="00B41658" w:rsidP="008465D3"/>
        </w:tc>
      </w:tr>
      <w:tr w:rsidR="00B41658" w:rsidRPr="00B86506" w14:paraId="193F6B0A" w14:textId="77777777" w:rsidTr="008465D3">
        <w:tc>
          <w:tcPr>
            <w:tcW w:w="13295" w:type="dxa"/>
            <w:gridSpan w:val="17"/>
            <w:tcBorders>
              <w:top w:val="single" w:sz="8" w:space="0" w:color="000000"/>
              <w:left w:val="single" w:sz="8" w:space="0" w:color="000000"/>
              <w:bottom w:val="single" w:sz="8" w:space="0" w:color="000000"/>
              <w:right w:val="single" w:sz="8" w:space="0" w:color="000000"/>
            </w:tcBorders>
          </w:tcPr>
          <w:p w14:paraId="6679C955" w14:textId="77777777" w:rsidR="00B41658" w:rsidRPr="00B86506" w:rsidRDefault="00B41658" w:rsidP="008465D3">
            <w:pPr>
              <w:spacing w:before="100" w:after="100"/>
              <w:ind w:left="60" w:right="60"/>
              <w:jc w:val="center"/>
            </w:pPr>
            <w:r w:rsidRPr="00B86506">
              <w:t>Проставляются оценки выбранных вариантов ответов</w:t>
            </w:r>
          </w:p>
        </w:tc>
        <w:tc>
          <w:tcPr>
            <w:tcW w:w="1701" w:type="dxa"/>
            <w:tcBorders>
              <w:top w:val="single" w:sz="8" w:space="0" w:color="000000"/>
              <w:left w:val="single" w:sz="8" w:space="0" w:color="000000"/>
              <w:bottom w:val="single" w:sz="8" w:space="0" w:color="000000"/>
              <w:right w:val="single" w:sz="8" w:space="0" w:color="000000"/>
            </w:tcBorders>
          </w:tcPr>
          <w:p w14:paraId="692DB32B" w14:textId="77777777" w:rsidR="00B41658" w:rsidRPr="00B86506" w:rsidRDefault="00B41658" w:rsidP="008465D3">
            <w:pPr>
              <w:spacing w:before="100" w:after="100"/>
              <w:ind w:left="60" w:right="60"/>
            </w:pPr>
          </w:p>
        </w:tc>
      </w:tr>
      <w:tr w:rsidR="00B41658" w:rsidRPr="00B86506" w14:paraId="3E484274" w14:textId="77777777" w:rsidTr="008465D3">
        <w:tc>
          <w:tcPr>
            <w:tcW w:w="485" w:type="dxa"/>
            <w:tcBorders>
              <w:top w:val="single" w:sz="8" w:space="0" w:color="000000"/>
              <w:left w:val="single" w:sz="8" w:space="0" w:color="000000"/>
              <w:bottom w:val="single" w:sz="8" w:space="0" w:color="000000"/>
              <w:right w:val="single" w:sz="8" w:space="0" w:color="000000"/>
            </w:tcBorders>
            <w:hideMark/>
          </w:tcPr>
          <w:p w14:paraId="30FA201F" w14:textId="77777777" w:rsidR="00B41658" w:rsidRPr="00B86506" w:rsidRDefault="00B41658" w:rsidP="008465D3">
            <w:pPr>
              <w:spacing w:before="100" w:after="100"/>
              <w:ind w:left="60" w:right="60"/>
            </w:pPr>
            <w:r w:rsidRPr="00B86506">
              <w:t> </w:t>
            </w:r>
          </w:p>
        </w:tc>
        <w:tc>
          <w:tcPr>
            <w:tcW w:w="485" w:type="dxa"/>
            <w:tcBorders>
              <w:top w:val="single" w:sz="8" w:space="0" w:color="000000"/>
              <w:left w:val="single" w:sz="8" w:space="0" w:color="000000"/>
              <w:bottom w:val="single" w:sz="8" w:space="0" w:color="000000"/>
              <w:right w:val="single" w:sz="8" w:space="0" w:color="000000"/>
            </w:tcBorders>
            <w:hideMark/>
          </w:tcPr>
          <w:p w14:paraId="06AF15AA" w14:textId="77777777" w:rsidR="00B41658" w:rsidRPr="00B86506" w:rsidRDefault="00B41658" w:rsidP="008465D3">
            <w:pPr>
              <w:spacing w:before="100" w:after="100"/>
              <w:ind w:left="60" w:right="60"/>
            </w:pPr>
            <w:r w:rsidRPr="00B86506">
              <w:t> </w:t>
            </w:r>
          </w:p>
        </w:tc>
        <w:tc>
          <w:tcPr>
            <w:tcW w:w="486" w:type="dxa"/>
            <w:tcBorders>
              <w:top w:val="single" w:sz="8" w:space="0" w:color="000000"/>
              <w:left w:val="single" w:sz="8" w:space="0" w:color="000000"/>
              <w:bottom w:val="single" w:sz="8" w:space="0" w:color="000000"/>
              <w:right w:val="single" w:sz="8" w:space="0" w:color="000000"/>
            </w:tcBorders>
            <w:hideMark/>
          </w:tcPr>
          <w:p w14:paraId="05DECA6B" w14:textId="77777777" w:rsidR="00B41658" w:rsidRPr="00B86506" w:rsidRDefault="00B41658" w:rsidP="008465D3">
            <w:pPr>
              <w:spacing w:before="100" w:after="100"/>
              <w:ind w:left="60" w:right="60"/>
            </w:pPr>
            <w:r w:rsidRPr="00B86506">
              <w:t> </w:t>
            </w:r>
          </w:p>
        </w:tc>
        <w:tc>
          <w:tcPr>
            <w:tcW w:w="440" w:type="dxa"/>
            <w:tcBorders>
              <w:top w:val="single" w:sz="8" w:space="0" w:color="000000"/>
              <w:left w:val="single" w:sz="8" w:space="0" w:color="000000"/>
              <w:bottom w:val="single" w:sz="8" w:space="0" w:color="000000"/>
              <w:right w:val="single" w:sz="8" w:space="0" w:color="000000"/>
            </w:tcBorders>
            <w:hideMark/>
          </w:tcPr>
          <w:p w14:paraId="4F080C10" w14:textId="77777777" w:rsidR="00B41658" w:rsidRPr="00B86506" w:rsidRDefault="00B41658" w:rsidP="008465D3">
            <w:pPr>
              <w:spacing w:before="100" w:after="100"/>
              <w:ind w:left="60" w:right="60"/>
            </w:pPr>
            <w:r w:rsidRPr="00B86506">
              <w:t> </w:t>
            </w:r>
          </w:p>
        </w:tc>
        <w:tc>
          <w:tcPr>
            <w:tcW w:w="440" w:type="dxa"/>
            <w:tcBorders>
              <w:top w:val="single" w:sz="8" w:space="0" w:color="000000"/>
              <w:left w:val="single" w:sz="8" w:space="0" w:color="000000"/>
              <w:bottom w:val="single" w:sz="8" w:space="0" w:color="000000"/>
              <w:right w:val="single" w:sz="8" w:space="0" w:color="000000"/>
            </w:tcBorders>
            <w:hideMark/>
          </w:tcPr>
          <w:p w14:paraId="02C3AD90" w14:textId="77777777" w:rsidR="00B41658" w:rsidRPr="00B86506" w:rsidRDefault="00B41658" w:rsidP="008465D3">
            <w:pPr>
              <w:spacing w:before="100" w:after="100"/>
              <w:ind w:left="60" w:right="60"/>
            </w:pPr>
            <w:r w:rsidRPr="00B86506">
              <w:t> </w:t>
            </w:r>
          </w:p>
        </w:tc>
        <w:tc>
          <w:tcPr>
            <w:tcW w:w="440" w:type="dxa"/>
            <w:tcBorders>
              <w:top w:val="single" w:sz="8" w:space="0" w:color="000000"/>
              <w:left w:val="single" w:sz="8" w:space="0" w:color="000000"/>
              <w:bottom w:val="single" w:sz="8" w:space="0" w:color="000000"/>
              <w:right w:val="single" w:sz="8" w:space="0" w:color="000000"/>
            </w:tcBorders>
            <w:hideMark/>
          </w:tcPr>
          <w:p w14:paraId="27E6286F" w14:textId="77777777" w:rsidR="00B41658" w:rsidRPr="00B86506" w:rsidRDefault="00B41658" w:rsidP="008465D3">
            <w:pPr>
              <w:spacing w:before="100" w:after="100"/>
              <w:ind w:left="60" w:right="60"/>
            </w:pPr>
            <w:r w:rsidRPr="00B86506">
              <w:t> </w:t>
            </w:r>
          </w:p>
        </w:tc>
        <w:tc>
          <w:tcPr>
            <w:tcW w:w="440" w:type="dxa"/>
            <w:tcBorders>
              <w:top w:val="single" w:sz="8" w:space="0" w:color="000000"/>
              <w:left w:val="single" w:sz="8" w:space="0" w:color="000000"/>
              <w:bottom w:val="single" w:sz="8" w:space="0" w:color="000000"/>
              <w:right w:val="single" w:sz="8" w:space="0" w:color="000000"/>
            </w:tcBorders>
            <w:hideMark/>
          </w:tcPr>
          <w:p w14:paraId="43A9E9DE" w14:textId="77777777" w:rsidR="00B41658" w:rsidRPr="00B86506" w:rsidRDefault="00B41658" w:rsidP="008465D3">
            <w:pPr>
              <w:spacing w:before="100" w:after="100"/>
              <w:ind w:left="60" w:right="60"/>
            </w:pPr>
            <w:r w:rsidRPr="00B86506">
              <w:t> </w:t>
            </w:r>
          </w:p>
        </w:tc>
        <w:tc>
          <w:tcPr>
            <w:tcW w:w="862" w:type="dxa"/>
            <w:tcBorders>
              <w:top w:val="single" w:sz="8" w:space="0" w:color="000000"/>
              <w:left w:val="single" w:sz="8" w:space="0" w:color="000000"/>
              <w:bottom w:val="single" w:sz="8" w:space="0" w:color="000000"/>
              <w:right w:val="single" w:sz="8" w:space="0" w:color="000000"/>
            </w:tcBorders>
            <w:hideMark/>
          </w:tcPr>
          <w:p w14:paraId="687DB553" w14:textId="77777777" w:rsidR="00B41658" w:rsidRPr="00B86506" w:rsidRDefault="00B41658" w:rsidP="008465D3">
            <w:pPr>
              <w:spacing w:before="100" w:after="100"/>
              <w:ind w:left="60" w:right="60"/>
            </w:pPr>
            <w:r w:rsidRPr="00B86506">
              <w:t> </w:t>
            </w:r>
          </w:p>
        </w:tc>
        <w:tc>
          <w:tcPr>
            <w:tcW w:w="851" w:type="dxa"/>
            <w:tcBorders>
              <w:top w:val="single" w:sz="8" w:space="0" w:color="000000"/>
              <w:left w:val="single" w:sz="8" w:space="0" w:color="000000"/>
              <w:bottom w:val="single" w:sz="8" w:space="0" w:color="000000"/>
              <w:right w:val="single" w:sz="8" w:space="0" w:color="000000"/>
            </w:tcBorders>
          </w:tcPr>
          <w:p w14:paraId="39A21C86" w14:textId="77777777" w:rsidR="00B41658" w:rsidRPr="00B86506" w:rsidRDefault="00B41658" w:rsidP="008465D3">
            <w:pPr>
              <w:spacing w:before="100" w:after="100"/>
              <w:ind w:left="60" w:right="60"/>
            </w:pPr>
          </w:p>
        </w:tc>
        <w:tc>
          <w:tcPr>
            <w:tcW w:w="992" w:type="dxa"/>
            <w:tcBorders>
              <w:top w:val="single" w:sz="8" w:space="0" w:color="000000"/>
              <w:left w:val="single" w:sz="8" w:space="0" w:color="000000"/>
              <w:bottom w:val="single" w:sz="8" w:space="0" w:color="000000"/>
              <w:right w:val="single" w:sz="8" w:space="0" w:color="000000"/>
            </w:tcBorders>
            <w:hideMark/>
          </w:tcPr>
          <w:p w14:paraId="1B2D25B0" w14:textId="77777777" w:rsidR="00B41658" w:rsidRPr="00B86506" w:rsidRDefault="00B41658" w:rsidP="008465D3">
            <w:pPr>
              <w:spacing w:before="100" w:after="100"/>
              <w:ind w:left="60" w:right="60"/>
            </w:pPr>
            <w:r w:rsidRPr="00B86506">
              <w:t> </w:t>
            </w:r>
          </w:p>
        </w:tc>
        <w:tc>
          <w:tcPr>
            <w:tcW w:w="992" w:type="dxa"/>
            <w:tcBorders>
              <w:top w:val="single" w:sz="8" w:space="0" w:color="000000"/>
              <w:left w:val="single" w:sz="8" w:space="0" w:color="000000"/>
              <w:bottom w:val="single" w:sz="8" w:space="0" w:color="000000"/>
              <w:right w:val="single" w:sz="8" w:space="0" w:color="000000"/>
            </w:tcBorders>
            <w:hideMark/>
          </w:tcPr>
          <w:p w14:paraId="2E0B7EB8" w14:textId="77777777" w:rsidR="00B41658" w:rsidRPr="00B86506" w:rsidRDefault="00B41658" w:rsidP="008465D3">
            <w:pPr>
              <w:spacing w:before="100" w:after="100"/>
              <w:ind w:left="60" w:right="60"/>
            </w:pPr>
            <w:r w:rsidRPr="00B86506">
              <w:t> </w:t>
            </w:r>
          </w:p>
        </w:tc>
        <w:tc>
          <w:tcPr>
            <w:tcW w:w="992" w:type="dxa"/>
            <w:tcBorders>
              <w:top w:val="single" w:sz="8" w:space="0" w:color="000000"/>
              <w:left w:val="single" w:sz="8" w:space="0" w:color="000000"/>
              <w:bottom w:val="single" w:sz="8" w:space="0" w:color="000000"/>
              <w:right w:val="single" w:sz="8" w:space="0" w:color="000000"/>
            </w:tcBorders>
            <w:hideMark/>
          </w:tcPr>
          <w:p w14:paraId="0A093203" w14:textId="77777777" w:rsidR="00B41658" w:rsidRPr="00B86506" w:rsidRDefault="00B41658" w:rsidP="008465D3">
            <w:pPr>
              <w:spacing w:before="100" w:after="100"/>
              <w:ind w:left="60" w:right="60"/>
            </w:pPr>
            <w:r w:rsidRPr="00B86506">
              <w:t> </w:t>
            </w:r>
          </w:p>
        </w:tc>
        <w:tc>
          <w:tcPr>
            <w:tcW w:w="854" w:type="dxa"/>
            <w:tcBorders>
              <w:top w:val="single" w:sz="8" w:space="0" w:color="000000"/>
              <w:left w:val="single" w:sz="8" w:space="0" w:color="000000"/>
              <w:bottom w:val="single" w:sz="8" w:space="0" w:color="000000"/>
              <w:right w:val="single" w:sz="8" w:space="0" w:color="000000"/>
            </w:tcBorders>
            <w:hideMark/>
          </w:tcPr>
          <w:p w14:paraId="1DD0566A" w14:textId="77777777" w:rsidR="00B41658" w:rsidRPr="00B86506" w:rsidRDefault="00B41658" w:rsidP="008465D3">
            <w:pPr>
              <w:spacing w:before="100" w:after="100"/>
              <w:ind w:left="60" w:right="60"/>
            </w:pPr>
            <w:r w:rsidRPr="00B86506">
              <w:t> </w:t>
            </w:r>
          </w:p>
        </w:tc>
        <w:tc>
          <w:tcPr>
            <w:tcW w:w="850" w:type="dxa"/>
            <w:tcBorders>
              <w:top w:val="single" w:sz="8" w:space="0" w:color="000000"/>
              <w:left w:val="single" w:sz="8" w:space="0" w:color="000000"/>
              <w:bottom w:val="single" w:sz="8" w:space="0" w:color="000000"/>
              <w:right w:val="single" w:sz="8" w:space="0" w:color="000000"/>
            </w:tcBorders>
            <w:hideMark/>
          </w:tcPr>
          <w:p w14:paraId="5C8FD242" w14:textId="77777777" w:rsidR="00B41658" w:rsidRPr="00B86506" w:rsidRDefault="00B41658" w:rsidP="008465D3">
            <w:pPr>
              <w:spacing w:before="100" w:after="100"/>
              <w:ind w:left="60" w:right="60"/>
            </w:pPr>
            <w:r w:rsidRPr="00B86506">
              <w:t> </w:t>
            </w:r>
          </w:p>
        </w:tc>
        <w:tc>
          <w:tcPr>
            <w:tcW w:w="851" w:type="dxa"/>
            <w:tcBorders>
              <w:top w:val="single" w:sz="8" w:space="0" w:color="000000"/>
              <w:left w:val="single" w:sz="8" w:space="0" w:color="000000"/>
              <w:bottom w:val="single" w:sz="8" w:space="0" w:color="000000"/>
              <w:right w:val="single" w:sz="8" w:space="0" w:color="000000"/>
            </w:tcBorders>
            <w:hideMark/>
          </w:tcPr>
          <w:p w14:paraId="14821F32" w14:textId="77777777" w:rsidR="00B41658" w:rsidRPr="00B86506" w:rsidRDefault="00B41658" w:rsidP="008465D3">
            <w:pPr>
              <w:spacing w:before="100" w:after="100"/>
              <w:ind w:left="60" w:right="60"/>
            </w:pPr>
            <w:r w:rsidRPr="00B86506">
              <w:t> </w:t>
            </w:r>
          </w:p>
        </w:tc>
        <w:tc>
          <w:tcPr>
            <w:tcW w:w="1134" w:type="dxa"/>
            <w:tcBorders>
              <w:top w:val="single" w:sz="8" w:space="0" w:color="000000"/>
              <w:left w:val="single" w:sz="8" w:space="0" w:color="000000"/>
              <w:bottom w:val="single" w:sz="8" w:space="0" w:color="000000"/>
              <w:right w:val="single" w:sz="8" w:space="0" w:color="000000"/>
            </w:tcBorders>
            <w:hideMark/>
          </w:tcPr>
          <w:p w14:paraId="5EF3863F" w14:textId="77777777" w:rsidR="00B41658" w:rsidRPr="00B86506" w:rsidRDefault="00B41658" w:rsidP="008465D3">
            <w:pPr>
              <w:spacing w:before="100" w:after="100"/>
              <w:ind w:left="60" w:right="60"/>
            </w:pPr>
            <w:r w:rsidRPr="00B86506">
              <w:t> </w:t>
            </w:r>
          </w:p>
        </w:tc>
        <w:tc>
          <w:tcPr>
            <w:tcW w:w="1701" w:type="dxa"/>
            <w:tcBorders>
              <w:top w:val="single" w:sz="8" w:space="0" w:color="000000"/>
              <w:left w:val="single" w:sz="8" w:space="0" w:color="000000"/>
              <w:bottom w:val="single" w:sz="8" w:space="0" w:color="000000"/>
              <w:right w:val="single" w:sz="8" w:space="0" w:color="000000"/>
            </w:tcBorders>
            <w:hideMark/>
          </w:tcPr>
          <w:p w14:paraId="3F720ADC" w14:textId="77777777" w:rsidR="00B41658" w:rsidRPr="00B86506" w:rsidRDefault="00B41658" w:rsidP="008465D3">
            <w:pPr>
              <w:spacing w:before="100" w:after="100"/>
              <w:ind w:left="60" w:right="60"/>
            </w:pPr>
            <w:r w:rsidRPr="00B86506">
              <w:t>  </w:t>
            </w:r>
          </w:p>
        </w:tc>
        <w:tc>
          <w:tcPr>
            <w:tcW w:w="1701" w:type="dxa"/>
            <w:tcBorders>
              <w:top w:val="single" w:sz="8" w:space="0" w:color="000000"/>
              <w:left w:val="single" w:sz="8" w:space="0" w:color="000000"/>
              <w:bottom w:val="single" w:sz="8" w:space="0" w:color="000000"/>
              <w:right w:val="single" w:sz="8" w:space="0" w:color="000000"/>
            </w:tcBorders>
            <w:hideMark/>
          </w:tcPr>
          <w:p w14:paraId="151769F3" w14:textId="77777777" w:rsidR="00B41658" w:rsidRPr="00B86506" w:rsidRDefault="00B41658" w:rsidP="008465D3">
            <w:pPr>
              <w:spacing w:before="100" w:after="100"/>
              <w:ind w:left="60" w:right="60"/>
            </w:pPr>
            <w:r w:rsidRPr="00B86506">
              <w:t> </w:t>
            </w:r>
          </w:p>
        </w:tc>
      </w:tr>
    </w:tbl>
    <w:p w14:paraId="2E00B8EE" w14:textId="69A5AA1D" w:rsidR="00102796" w:rsidRDefault="00102796" w:rsidP="00A17DB2"/>
    <w:sectPr w:rsidR="00102796" w:rsidSect="00B4165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CCC"/>
    <w:rsid w:val="0008436A"/>
    <w:rsid w:val="00102796"/>
    <w:rsid w:val="001137A1"/>
    <w:rsid w:val="0015589B"/>
    <w:rsid w:val="00251A10"/>
    <w:rsid w:val="002576A2"/>
    <w:rsid w:val="00285F7C"/>
    <w:rsid w:val="002B7BD7"/>
    <w:rsid w:val="00320E7C"/>
    <w:rsid w:val="0041371F"/>
    <w:rsid w:val="006D1BA4"/>
    <w:rsid w:val="00775CD9"/>
    <w:rsid w:val="00970342"/>
    <w:rsid w:val="00A17DB2"/>
    <w:rsid w:val="00B41658"/>
    <w:rsid w:val="00B86109"/>
    <w:rsid w:val="00C21CCC"/>
    <w:rsid w:val="00CC4FF4"/>
    <w:rsid w:val="00E92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9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7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7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vmf2.consultant.ru/static4021_00_20_553877/document_notes_inner.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ovmf2.consultant.ru/static4021_00_20_553877/document_notes_inner.htm?" TargetMode="External"/><Relationship Id="rId5" Type="http://schemas.openxmlformats.org/officeDocument/2006/relationships/hyperlink" Target="https://ovmf2.consultant.ru/static4021_00_20_553877/document_notes_inner.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2830</Words>
  <Characters>16136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Герасимова</dc:creator>
  <cp:lastModifiedBy>Любовь</cp:lastModifiedBy>
  <cp:revision>2</cp:revision>
  <dcterms:created xsi:type="dcterms:W3CDTF">2022-06-22T02:00:00Z</dcterms:created>
  <dcterms:modified xsi:type="dcterms:W3CDTF">2022-06-22T02:00:00Z</dcterms:modified>
</cp:coreProperties>
</file>