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A9" w:rsidRDefault="002F2A19" w:rsidP="002F2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A19">
        <w:rPr>
          <w:rFonts w:ascii="Times New Roman" w:hAnsi="Times New Roman" w:cs="Times New Roman"/>
          <w:b/>
          <w:sz w:val="24"/>
          <w:szCs w:val="24"/>
        </w:rPr>
        <w:t xml:space="preserve">Устав Артемовского городского округа </w:t>
      </w:r>
    </w:p>
    <w:p w:rsidR="002F2A19" w:rsidRPr="002F2A19" w:rsidRDefault="002F2A19" w:rsidP="002F2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A19" w:rsidRPr="002F2A19" w:rsidRDefault="002F2A19" w:rsidP="002F2A1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F2A19">
        <w:rPr>
          <w:rFonts w:ascii="Times New Roman" w:eastAsiaTheme="minorHAnsi" w:hAnsi="Times New Roman" w:cs="Times New Roman"/>
          <w:color w:val="auto"/>
          <w:sz w:val="24"/>
          <w:szCs w:val="24"/>
        </w:rPr>
        <w:t>Статья 35. Контрольно-счетная палата Артемовского городского округа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Контрольно-счетная палата Артемовского городского округа является органом местного самоуправления Артемовского городского округа, образованным в целях контроля за исполнением бюджета Артемовского городского округа, соблюдением установленного порядка подготовки и рассмотрения проекта бюджета Артемовского городского округа,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Артемовского городского округа.</w:t>
      </w:r>
      <w:proofErr w:type="gramEnd"/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Контрольно-счетная палата Артемовского городского округа формируется Думой Артемовского городского округа в соответствии с настоящим Уставом.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2. Порядок деятельности контрольно-счетной палаты Артемовского городского округа определяется Думой Артемовского городского округа.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3. Контрольно-счетная палата Артемовского городского округа обладает правами юридического лица, имеет печать и официальный бланк со своим наименованием.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 xml:space="preserve"> с 1 октября 2011 года. - </w:t>
      </w:r>
      <w:hyperlink r:id="rId5" w:history="1">
        <w:r w:rsidRPr="002F2A19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2F2A19">
        <w:rPr>
          <w:rFonts w:ascii="Times New Roman" w:hAnsi="Times New Roman" w:cs="Times New Roman"/>
          <w:sz w:val="24"/>
          <w:szCs w:val="24"/>
        </w:rPr>
        <w:t xml:space="preserve"> Думы Артемовского городского округа от 28.07.2011 N 533.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5. Контрольно-счетная палата Артемовского городского округа образуется в составе председателя, заместителя председателя, аудиторов и аппарата контрольно-счетной палаты Артемовского городского округа. Штатная численность контрольно-счетной палаты Артемовского городского округа определяется решением Думы Артемовского городского округа по представлению председателя контрольно-счетной палаты Артемовского городского округа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Артемовского городского округа. Председатель контрольно-счетной палаты назначается на должность сроком на 5 лет решением Думы Артемовского городского округа. Кандидатуру на должность председателя предлагают: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глава Артемовского городского округа;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председатель Думы Артемовского городского округа;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депутаты Думы Артемовского городского округа - не менее одной трети от установленного числа депутатов Думы Артемовского городского округа.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Дума Артемовского городского округа вправе обратиться в Контрольно-счетную палату Приморского края за заключением о соответствии кандидатур на должность председателя контрольно-счетной палаты Артемовского городского округа квалификационным требованиям, установленным Федеральным </w:t>
      </w:r>
      <w:hyperlink r:id="rId6" w:history="1">
        <w:r w:rsidRPr="002F2A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2A19">
        <w:rPr>
          <w:rFonts w:ascii="Times New Roman" w:hAnsi="Times New Roman" w:cs="Times New Roman"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Решением Думы Артемовского городского округа в составе контрольно-счетной палаты Артемовского городского округа могут быть предусмотрены должности аудиторов контрольно-счетной палаты Артемовского городского округа.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6. Руководит деятельностью контрольно-счетной палаты Артемовского городского округа ее председатель.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7. Внутренние вопросы деятельности контрольно-счетной палаты Артемовского городского округа, порядок подготовки и проведения контрольных мероприятий, порядок взаимодействия с органами государственной власти, органами местного самоуправления, муниципальными предприятиями и учреждениями, иной деятельности определяются Думой Артемовского городского округа.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8. Результаты проверок, осуществляемых контрольно-счетной палатой Артемовского городского округа, подлежат опубликованию в газете "Выбор" и размещаются на </w:t>
      </w:r>
      <w:r w:rsidRPr="002F2A19">
        <w:rPr>
          <w:rFonts w:ascii="Times New Roman" w:hAnsi="Times New Roman" w:cs="Times New Roman"/>
          <w:sz w:val="24"/>
          <w:szCs w:val="24"/>
        </w:rPr>
        <w:lastRenderedPageBreak/>
        <w:t>официальном сайте органов местного самоуправления Артемовского городского округа в сети Интернет.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2A1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F2A19">
        <w:rPr>
          <w:rFonts w:ascii="Times New Roman" w:hAnsi="Times New Roman" w:cs="Times New Roman"/>
          <w:sz w:val="24"/>
          <w:szCs w:val="24"/>
        </w:rPr>
        <w:t>. Органы и должностные лица местного самоуправления обязаны предоставлять в контрольно-счетную палату Артемовского городского округа по ее требованию необходимую информацию и документы по вопросам, относящимся к их компетенции.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19" w:rsidRPr="002F2A19" w:rsidRDefault="002F2A19" w:rsidP="002F2A1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F2A19">
        <w:rPr>
          <w:rFonts w:ascii="Times New Roman" w:eastAsiaTheme="minorHAnsi" w:hAnsi="Times New Roman" w:cs="Times New Roman"/>
          <w:color w:val="auto"/>
          <w:sz w:val="24"/>
          <w:szCs w:val="24"/>
        </w:rPr>
        <w:t>Статья 36. Полномочия контрольно-счетной палаты Артемовского городского округа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 xml:space="preserve"> с 1 октября 2011 года. - </w:t>
      </w:r>
      <w:hyperlink r:id="rId8" w:history="1">
        <w:r w:rsidRPr="002F2A19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2F2A19">
        <w:rPr>
          <w:rFonts w:ascii="Times New Roman" w:hAnsi="Times New Roman" w:cs="Times New Roman"/>
          <w:sz w:val="24"/>
          <w:szCs w:val="24"/>
        </w:rPr>
        <w:t xml:space="preserve"> Думы Артемовского городского округа от 28.07.2011 N 533.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2. Контрольно-счетная палата Артемовского городского округа осуществляет следующие полномочия: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Артемовского городского округа, а также иных сре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2) экспертиза проектов бюджета Артемовского городского округа, проверка и анализ обоснованности его показателей;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Артемовского городского округа;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9" w:history="1">
        <w:r w:rsidRPr="002F2A1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2A19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19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 Артемовского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Артемовского городского округа и имущества, находящегося в муниципальной собственности;</w:t>
      </w:r>
      <w:proofErr w:type="gramEnd"/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Артемовского городского округа, экспертиза проектов муниципальных правовых актов, приводящих к изменению доходов бюджета Артемовского городского округа, а также муниципальных программ (проектов муниципальных программ);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Артемовском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Артемовского городского округа в текущем финансовом году, ежеквартальное представление информации о ходе исполнения бюджета Артемовского городского округа, о результатах проведенных контрольных и экспертно-аналитических мероприятий в Думу Артемовского городского округа и главе Артемовского городского округа;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2F2A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2A19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Артемовского городского округа, предусмотренных </w:t>
      </w:r>
      <w:r w:rsidRPr="002F2A19">
        <w:rPr>
          <w:rFonts w:ascii="Times New Roman" w:hAnsi="Times New Roman" w:cs="Times New Roman"/>
          <w:sz w:val="24"/>
          <w:szCs w:val="24"/>
        </w:rPr>
        <w:lastRenderedPageBreak/>
        <w:t>документами стратегического планирования Артемовского городского округа, в пределах компетенции контрольно-счетной палаты Артемовского городского округа;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Приморского края, настоящим Уставом и нормативными правовыми актами Думы Артемовского городского округа.</w:t>
      </w:r>
    </w:p>
    <w:p w:rsidR="002F2A19" w:rsidRPr="002F2A19" w:rsidRDefault="002F2A19" w:rsidP="002F2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A19">
        <w:rPr>
          <w:rFonts w:ascii="Times New Roman" w:hAnsi="Times New Roman" w:cs="Times New Roman"/>
          <w:sz w:val="24"/>
          <w:szCs w:val="24"/>
        </w:rPr>
        <w:t>3. Контрольно-счетная палата Артемовского городского округа ежегодно представляет Думе Артемовского городского округа и главе Артемовского городского округа отчет о своей деятельности, проведенных контрольных и экспертно-аналитических мероприятиях.</w:t>
      </w:r>
      <w:bookmarkStart w:id="0" w:name="_GoBack"/>
      <w:bookmarkEnd w:id="0"/>
    </w:p>
    <w:sectPr w:rsidR="002F2A19" w:rsidRPr="002F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9"/>
    <w:rsid w:val="002F2A19"/>
    <w:rsid w:val="0063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4FDAA72EE3969EA41C94121DAFA40DBD35E0062DEAB75502488B16FCD4816AFE4280B6B326EA0912A5EA1B075E04E3EE672F593ED65C54DB094F5T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4FDAA72EE3969EA41C94121DAFA40DBD35E0062D8A175542488B16FCD4816AFE4280B6B326EA0912A58AAB075E04E3EE672F593ED65C54DB094F5T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4FDAA72EE3969EA41D74C37B6A44FDFDD010562DBA821087BD3EC38C44241FAAB29452D3F71A0963458A3B9F2T2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84FDAA72EE3969EA41C94121DAFA40DBD35E0062DEAB75502488B16FCD4816AFE4280B6B326EA0912A59A7B075E04E3EE672F593ED65C54DB094F5T0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4FDAA72EE3969EA41D74C37B6A44FDFD9030F6ED9A821087BD3EC38C44241FAAB29452D3F71A0963458A3B9F2T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2023-07-20T01:17:00Z</dcterms:created>
  <dcterms:modified xsi:type="dcterms:W3CDTF">2023-07-20T01:25:00Z</dcterms:modified>
</cp:coreProperties>
</file>