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</w:t>
      </w:r>
      <w:r>
        <w:rPr>
          <w:b/>
          <w:bCs/>
          <w:sz w:val="28"/>
          <w:szCs w:val="28"/>
        </w:rPr>
        <w:t xml:space="preserve">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</w:t>
      </w:r>
      <w:r>
        <w:rPr>
          <w:b/>
          <w:bCs/>
          <w:sz w:val="28"/>
          <w:szCs w:val="28"/>
        </w:rPr>
        <w:t xml:space="preserve">проведения контроля и </w:t>
      </w:r>
      <w:r>
        <w:rPr>
          <w:b/>
          <w:bCs/>
          <w:sz w:val="28"/>
          <w:szCs w:val="28"/>
        </w:rPr>
        <w:t xml:space="preserve">мониторинга выполнения муниципальн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задани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муниципальным</w:t>
      </w:r>
      <w:r>
        <w:rPr>
          <w:b/>
          <w:bCs/>
          <w:sz w:val="28"/>
          <w:szCs w:val="28"/>
        </w:rPr>
        <w:t xml:space="preserve"> казенным</w:t>
      </w:r>
      <w:r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 xml:space="preserve">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МКУ «УУСМЖФ» АГО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 6 мес. 2025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выданным</w:t>
      </w:r>
      <w:r>
        <w:rPr>
          <w:sz w:val="28"/>
          <w:szCs w:val="28"/>
        </w:rPr>
        <w:t xml:space="preserve"> муниципальным заданием </w:t>
      </w:r>
      <w:r>
        <w:rPr>
          <w:sz w:val="28"/>
          <w:szCs w:val="28"/>
        </w:rPr>
        <w:t xml:space="preserve"> на 2025 год и плановый период 2026-2027 годов, </w:t>
      </w:r>
      <w:r>
        <w:rPr>
          <w:sz w:val="28"/>
          <w:szCs w:val="28"/>
        </w:rPr>
        <w:t xml:space="preserve">проведен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выполнения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«УУСМЖФ»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Управлением жизнеобеспечения осуществляется </w:t>
      </w:r>
      <w:r>
        <w:rPr>
          <w:sz w:val="28"/>
          <w:szCs w:val="28"/>
        </w:rPr>
        <w:t xml:space="preserve">мониторинг и </w:t>
      </w:r>
      <w:r>
        <w:rPr>
          <w:sz w:val="28"/>
          <w:szCs w:val="28"/>
        </w:rPr>
        <w:t xml:space="preserve">контроль за выполнением муниципального задания подведомственным учреждением МКУ «УУСМЖФ».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Источником информации для проведения оценки яв</w:t>
      </w:r>
      <w:r>
        <w:rPr>
          <w:sz w:val="28"/>
          <w:szCs w:val="28"/>
        </w:rPr>
        <w:t xml:space="preserve">ляется отчет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выполнении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казённы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«УУСМЖФ»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6 месяцев 2025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оценке использованы плановые значения </w:t>
      </w:r>
      <w:r>
        <w:rPr>
          <w:sz w:val="28"/>
          <w:szCs w:val="28"/>
        </w:rPr>
        <w:t xml:space="preserve">количественных </w:t>
      </w:r>
      <w:r>
        <w:rPr>
          <w:sz w:val="28"/>
          <w:szCs w:val="28"/>
        </w:rPr>
        <w:t xml:space="preserve">показателей муниципального задания и фактически достигнутые значения </w:t>
      </w:r>
      <w:r>
        <w:rPr>
          <w:sz w:val="28"/>
          <w:szCs w:val="28"/>
        </w:rPr>
        <w:t xml:space="preserve">количественных </w:t>
      </w:r>
      <w:r>
        <w:rPr>
          <w:sz w:val="28"/>
          <w:szCs w:val="28"/>
        </w:rPr>
        <w:t xml:space="preserve">показателей муниципального задания </w:t>
      </w:r>
      <w:r>
        <w:rPr>
          <w:sz w:val="28"/>
          <w:szCs w:val="28"/>
        </w:rPr>
        <w:t xml:space="preserve">вышеуказанн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казённ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6 мес.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муниципального задания осуществлялся в форме выездной проверки.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результате контроля и мониторинга установлено следующее: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Муниципальным казенным учреждением «Управление по учету и содержанию муниципального жилищного фонда» оказывается 3 услуги по региональному перечню работ/услуг и 1 услуга по общероссийскому перечню.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Получателями муниципальных услуг являются юридические и физические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установлены годовые плановые объемы.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Фактическое выполнение муниципального задания за </w:t>
      </w:r>
      <w:r>
        <w:rPr>
          <w:sz w:val="28"/>
          <w:szCs w:val="28"/>
        </w:rPr>
        <w:t xml:space="preserve">6 мес.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МКУ «УУСМЖФ»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муниципальным </w:t>
      </w:r>
      <w:r>
        <w:rPr>
          <w:sz w:val="28"/>
          <w:szCs w:val="28"/>
        </w:rPr>
        <w:t xml:space="preserve">услугам составляет: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7"/>
        <w:gridCol w:w="2865"/>
        <w:gridCol w:w="1871"/>
        <w:gridCol w:w="1512"/>
        <w:gridCol w:w="3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услуги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87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объема, установлен-ные муници-пальным заданием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год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1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Выпол-нено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6 мес.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30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Соответствие фактического значения оказанной услуги/выполненной работы установ</w:t>
            </w:r>
            <w:r>
              <w:rPr>
                <w:b/>
                <w:sz w:val="28"/>
                <w:szCs w:val="28"/>
              </w:rPr>
              <w:t xml:space="preserve">ленному значению муниципального задания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(выполнено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6 мес. по отношению к плановому годовому объему)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90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подготовке конкурсной документации для проведения открытых конкурсов по отбору управляющих организаций для управления многоквартирными домами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50 % от установленного годового планового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договора приватизации ж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лого помещения муниципального жилищного фонда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7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50 % от установленного годового планового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9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содержания и ремонта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МЖФ: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общие собрания,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выявление пустующих жилых помещений,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незаконно занятых,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выморочных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50 % от установленного годового планового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Выдача справок об участии (неучастии) в приватизации муниципального жилищного фонда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87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1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210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30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50 % от установленного годового планового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об утверждении муниципального задания установлено допустимое отклонение от установленных значений – 10 %.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</w:t>
      </w:r>
      <w:r>
        <w:rPr>
          <w:sz w:val="28"/>
          <w:szCs w:val="28"/>
        </w:rPr>
        <w:t xml:space="preserve">о резуль</w:t>
      </w:r>
      <w:r>
        <w:rPr>
          <w:sz w:val="28"/>
          <w:szCs w:val="28"/>
        </w:rPr>
        <w:t xml:space="preserve">татам проведенного мониторинга, </w:t>
      </w:r>
      <w:r>
        <w:rPr>
          <w:sz w:val="28"/>
          <w:szCs w:val="28"/>
        </w:rPr>
        <w:t xml:space="preserve">муниципальное задание</w:t>
      </w:r>
      <w:r>
        <w:rPr>
          <w:sz w:val="28"/>
          <w:szCs w:val="28"/>
        </w:rPr>
        <w:t xml:space="preserve"> за 6 мес.</w:t>
      </w:r>
      <w:r>
        <w:rPr>
          <w:sz w:val="28"/>
          <w:szCs w:val="28"/>
        </w:rPr>
        <w:t xml:space="preserve"> МК</w:t>
      </w:r>
      <w:r>
        <w:rPr>
          <w:sz w:val="28"/>
          <w:szCs w:val="28"/>
        </w:rPr>
        <w:t xml:space="preserve">У «УУСМЖФ» выполнено в полном объеме.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Также, п</w:t>
      </w:r>
      <w:r>
        <w:rPr>
          <w:sz w:val="28"/>
          <w:szCs w:val="28"/>
        </w:rPr>
        <w:t xml:space="preserve">о итогам выполнения муниципального задания за </w:t>
      </w:r>
      <w:r>
        <w:rPr>
          <w:sz w:val="28"/>
          <w:szCs w:val="28"/>
        </w:rPr>
        <w:t xml:space="preserve">6 мес. 2025 года специалистами управления жизнеобеспечения администрации АГО 09.07.2025 года была проведена плановая выездная проверка объектов муниципального жилищного фонда (выборочно), выявленных в результате выполнения муниципального задания. По резуль</w:t>
      </w:r>
      <w:r>
        <w:rPr>
          <w:sz w:val="28"/>
          <w:szCs w:val="28"/>
        </w:rPr>
        <w:t xml:space="preserve">татам выездной проверки, в указанный </w:t>
      </w:r>
      <w:r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оказывались</w:t>
      </w:r>
      <w:r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установлено, чт</w:t>
      </w:r>
      <w:r>
        <w:rPr>
          <w:sz w:val="28"/>
          <w:szCs w:val="28"/>
        </w:rPr>
        <w:t xml:space="preserve">о за проверяемый период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оказывались</w:t>
      </w:r>
      <w:r>
        <w:rPr>
          <w:sz w:val="28"/>
          <w:szCs w:val="28"/>
        </w:rPr>
        <w:t xml:space="preserve"> в полном объеме, </w:t>
      </w:r>
      <w:r>
        <w:rPr>
          <w:sz w:val="28"/>
          <w:szCs w:val="28"/>
        </w:rPr>
        <w:t xml:space="preserve">в соответствии с установленными сроками и периодичностью,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 не выявлено, ж</w:t>
      </w:r>
      <w:r>
        <w:rPr>
          <w:sz w:val="28"/>
          <w:szCs w:val="28"/>
        </w:rPr>
        <w:t xml:space="preserve">алоб на качество выполняемых работ (услуг)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 выполнено.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90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3</w: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  <w:rPr>
        <w:rStyle w:val="906"/>
      </w:rPr>
      <w:framePr w:h="355" w:wrap="around" w:vAnchor="text" w:hAnchor="page" w:x="1599" w:y="72" w:hRule="exact"/>
    </w:pPr>
    <w:r>
      <w:rPr>
        <w:rStyle w:val="906"/>
      </w:rPr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  <w:p>
    <w:pPr>
      <w:pStyle w:val="904"/>
    </w:pPr>
    <w:r>
      <w:t xml:space="preserve">      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link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link w:val="754"/>
    <w:uiPriority w:val="35"/>
    <w:rPr>
      <w:b/>
      <w:bCs/>
      <w:color w:val="4f81bd" w:themeColor="accent1"/>
      <w:sz w:val="18"/>
      <w:szCs w:val="18"/>
    </w:rPr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1">
    <w:name w:val="Основной шрифт абзаца"/>
    <w:next w:val="901"/>
    <w:link w:val="900"/>
    <w:uiPriority w:val="1"/>
    <w:semiHidden/>
    <w:unhideWhenUsed/>
  </w:style>
  <w:style w:type="table" w:styleId="902">
    <w:name w:val="Обычная таблица"/>
    <w:next w:val="902"/>
    <w:link w:val="900"/>
    <w:uiPriority w:val="99"/>
    <w:semiHidden/>
    <w:unhideWhenUsed/>
    <w:qFormat/>
    <w:tblPr/>
  </w:style>
  <w:style w:type="numbering" w:styleId="903">
    <w:name w:val="Нет списка"/>
    <w:next w:val="903"/>
    <w:link w:val="900"/>
    <w:uiPriority w:val="99"/>
    <w:semiHidden/>
    <w:unhideWhenUsed/>
  </w:style>
  <w:style w:type="paragraph" w:styleId="904">
    <w:name w:val="Верхний колонтитул"/>
    <w:basedOn w:val="900"/>
    <w:next w:val="904"/>
    <w:link w:val="905"/>
    <w:pPr>
      <w:tabs>
        <w:tab w:val="center" w:pos="4677" w:leader="none"/>
        <w:tab w:val="right" w:pos="9355" w:leader="none"/>
      </w:tabs>
    </w:pPr>
  </w:style>
  <w:style w:type="character" w:styleId="905">
    <w:name w:val="Верхний колонтитул Знак"/>
    <w:next w:val="905"/>
    <w:link w:val="90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Номер страницы"/>
    <w:basedOn w:val="901"/>
    <w:next w:val="906"/>
    <w:link w:val="900"/>
  </w:style>
  <w:style w:type="paragraph" w:styleId="907">
    <w:name w:val="Текст выноски"/>
    <w:basedOn w:val="900"/>
    <w:next w:val="907"/>
    <w:link w:val="908"/>
    <w:uiPriority w:val="99"/>
    <w:semiHidden/>
    <w:unhideWhenUsed/>
    <w:rPr>
      <w:rFonts w:ascii="Tahoma" w:hAnsi="Tahoma" w:cs="Tahoma"/>
      <w:sz w:val="16"/>
      <w:szCs w:val="16"/>
    </w:rPr>
  </w:style>
  <w:style w:type="character" w:styleId="908">
    <w:name w:val="Текст выноски Знак"/>
    <w:next w:val="908"/>
    <w:link w:val="907"/>
    <w:uiPriority w:val="99"/>
    <w:semiHidden/>
    <w:rPr>
      <w:rFonts w:ascii="Tahoma" w:hAnsi="Tahoma" w:eastAsia="Times New Roman" w:cs="Tahoma"/>
      <w:sz w:val="16"/>
      <w:szCs w:val="16"/>
    </w:rPr>
  </w:style>
  <w:style w:type="table" w:styleId="909">
    <w:name w:val="Сетка таблицы"/>
    <w:basedOn w:val="902"/>
    <w:next w:val="909"/>
    <w:link w:val="900"/>
    <w:uiPriority w:val="59"/>
    <w:tblPr/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shevchenko_a</dc:creator>
  <cp:lastModifiedBy>kulaeva</cp:lastModifiedBy>
  <cp:revision>74</cp:revision>
  <dcterms:created xsi:type="dcterms:W3CDTF">2020-02-03T05:20:00Z</dcterms:created>
  <dcterms:modified xsi:type="dcterms:W3CDTF">2025-07-11T05:05:49Z</dcterms:modified>
  <cp:version>983040</cp:version>
</cp:coreProperties>
</file>