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0"/>
        <w:ind w:left="5664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0"/>
        <w:ind w:left="5664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0"/>
        <w:ind w:left="5664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0"/>
        <w:ind w:left="5664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0"/>
        <w:ind w:left="5664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0"/>
        <w:ind w:left="5664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Артемовского городского округа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№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0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0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общественном Совете по развитию территориального общественного самоуправления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Артемовском городском округе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0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Общие положения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Общественный совет по развитию территориального общественного самоуправления в Артемовском городском округе (далее - Совет) создан при администрации Артемовского городского округа в качестве консультативно-совещательного органа.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Совет в своей деятельности руководствуется действующим законодательством Российской Федерации, муниципальными правовыми актами Артемовского городского округа и настоящим Положением.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Решения Совета обязательны к рассмотрению органами местного самоуправления Артемовского городского округа, муниципальными учреждениями и предприятиями Артемовского городского округа.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Члены Совета осуществляют свою деятельность на общественных началах.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jc w:val="both"/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Цель и задачи Совета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2.1.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Совет создан в целях разработки и реализации единой социально ориентированной политики администрации Артемовского городского округа в сфере ра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звития территориал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ьного общественного самоуправления (далее - ТОС) в Артемовском городском округе, повышения заинтересованности населения в осуществлении собственных инициатив по вопросам местного значения посредством формирования системы ТОС в Артемовском городском округе.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Задачами Совета являются:</w:t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2.2.1. Выработка рекомендаций для органов местного самоуправления Артемовского городского округа по определению приоритетов в области развития и функционирования ТОС.</w:t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2.2.2. Формирование предложений о мерах по популяризации ТОС среди населения, по поддержке инициатив граждан в создании ТОС и по реализации их проектов.</w:t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2.2.3. Оказание организационной, консультативной, методической помощи органам ТОС.</w:t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</w:p>
    <w:p>
      <w:pPr>
        <w:pStyle w:val="850"/>
        <w:ind w:firstLine="567"/>
        <w:jc w:val="both"/>
        <w:spacing w:before="0" w:beforeAutospacing="0"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Основные функции Совета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Формирование рекомендаций по внесению изменений в муниципальные правовые акты Артемовского городского округа, направленных на развитие системы ТОС в </w:t>
      </w:r>
      <w:r>
        <w:rPr>
          <w:rFonts w:ascii="Times New Roman" w:hAnsi="Times New Roman" w:cs="Times New Roman"/>
          <w:sz w:val="28"/>
          <w:szCs w:val="28"/>
        </w:rPr>
        <w:t xml:space="preserve">Артемовском городском округе.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3.2. Выработка рекомендаций по внесению мероприятий, направленных на развитие системы ТОС в Артемовском городском округе, в муниципальные программы.</w:t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Рассмотрение и оказание содействия в реализации общественно значимых проектов развития ТОС.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ind w:firstLine="567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 w:val="0"/>
          <w:bCs w:val="0"/>
          <w:sz w:val="20"/>
          <w:szCs w:val="20"/>
        </w:rPr>
      </w:r>
      <w:r>
        <w:rPr>
          <w:rFonts w:ascii="Times New Roman" w:hAnsi="Times New Roman" w:cs="Times New Roman"/>
          <w:b w:val="0"/>
          <w:bCs w:val="0"/>
          <w:sz w:val="20"/>
          <w:szCs w:val="20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i w:val="0"/>
          <w:strike w:val="0"/>
          <w:sz w:val="28"/>
          <w:szCs w:val="28"/>
        </w:rPr>
        <w:t xml:space="preserve">Полномочия Совета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апрашивать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у федеральных органов исполнительной власти, органов исполнительной власти Приморского края, органов местного самоуправления Артемовского городского округа, организаций всех организационно-правовых форм информацию в рамках установленной компетенции Совета.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Участвовать в разработке и обсуждении проектов муниципальных правовых актов Артемовского городского округа, касающихся вопросов создания и функционирования ТОС, по согласованию с их разработчиками.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Рекомендовать принятие органами местного самоуправления Артемовского городского округа муниципальных правовых актов Артемовского городского округа в сфере развития ТОС, в том числе по внесению мероприятий в муниципальные программы.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Участвовать в организации проведения совещаний, конференций, семинаро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в, круглых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столов по вопросам развития ТОС, по согласованию с организаторами, в том числе направлять своих представителей для участия в указанных мероприятиях, проводимых органами исполнительной власти Приморского края и администрацией Артемовского городского округа.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4.5. Создавать экспертные г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руппы, рабо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чие группы, временные комиссии из числа членов Совета, привлекать специалистов администрации Артемовского городского округа, специалистов организаций всех организационно-правовых форм для подготовки заключений по различным направлениям деятельности Совета.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4.6. Приглашать на заседания Совета представителей органов государственной власти, органов местного самоуправления, организаций всех организационно-правовых форм, граждан, заинтересованных в развитии ТОС в Артемовском городском округе.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pStyle w:val="850"/>
        <w:ind w:firstLine="567"/>
        <w:jc w:val="both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eastAsia="Times New Roman" w:cs="Times New Roman"/>
          <w:b/>
          <w:bCs/>
          <w:i w:val="0"/>
          <w:strike w:val="0"/>
          <w:sz w:val="28"/>
          <w:szCs w:val="28"/>
        </w:rPr>
        <w:t xml:space="preserve">Организация деятельности 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Текущей работой Совета руководит председатель Совета, а на период его отсутствия - заместитель председателя Совета.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Со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вет формируется из представителей администрации Артемовского городско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го округа, Думы Артемовского городского округа, ТОС Артемовского городского округа. Совет создается в количестве не менее двенадцати человек и не более двадцати человек. Состав Совета утверждается распоряжением администрации Артемовского городского округа.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5.3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В случае отсутствия члена Совета более чем на трех подряд заседаниях Совета без уважительной причины председатель Совета может поставить вопрос об исключении данного члена Совета из его состава.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Основной организационной формой деятельности Совета является заседание.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Заседания Совета проводятся по мере необходимости, но не реже одного раза в год.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0" w:right="0" w:firstLine="709"/>
        <w:spacing w:after="0" w:afterAutospacing="0" w:line="360" w:lineRule="auto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  <w:highlight w:val="none"/>
        </w:rPr>
      </w:r>
      <w:r>
        <w:rPr>
          <w:rFonts w:ascii="Times New Roman" w:hAnsi="Times New Roman" w:cs="Times New Roman"/>
          <w:sz w:val="2"/>
          <w:szCs w:val="2"/>
        </w:rPr>
      </w:r>
      <w:r>
        <w:rPr>
          <w:rFonts w:ascii="Times New Roman" w:hAnsi="Times New Roman" w:cs="Times New Roman"/>
          <w:sz w:val="2"/>
          <w:szCs w:val="2"/>
        </w:rPr>
      </w:r>
    </w:p>
    <w:p>
      <w:pPr>
        <w:ind w:left="0" w:right="0" w:firstLine="709"/>
        <w:spacing w:after="0" w:afterAutospacing="0" w:line="36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5.6.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Председатель Совета: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планирует текущую работу Совета;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утверждает повестку дня заседания Совета;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ведет заседания Совета;</w:t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обеспечивает и контролирует выполнение решений Совета;</w:t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координирует работу временных комиссий, экспертных и рабочих групп.</w:t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Заместитель председателя Совета:</w:t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исполняет обязанности председателя Совета в его отсутствие и (или) по его поручению;</w:t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выполняет поручения председателя Совета.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5.8. Секретарь Совета определяется из членов Совета, являющихся сотрудниками администрации Артемовского городского округа, по решению председателя Совета.</w:t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5.9. Организационно-техническое обеспечение деятельности Совета осуществляет управление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по работе с общественностью администрации Артемовского городского округа.</w:t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5.10. Заседание Совета считается правомочным, если в нем принимают участие половина и более от общего числа его членов. Решения на заседании принимаются путем открытого голосования большинством голосов от числа присутствующих членов Совета.</w:t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В  случае  равенства  голосов голос председателя Совета является решающим.</w:t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5.11. Решения С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овета по итогам заседания оформляются протоколом заседания Совета, который подписывается председателем Совета. Решения Совета носят рекомендательный характер. Протокол заседания Совета оформляется в срок не позднее пяти рабочих дней после заседания Совета.</w:t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5.12. Выписки из протоколов заседания Совета в случае необходимости направляются участникам заседаний Совета, в органы администрации Артемовского городского округа и организации по подведомственности.</w:t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</w:rPr>
      </w:r>
    </w:p>
    <w:p>
      <w:pPr>
        <w:pStyle w:val="850"/>
        <w:ind w:left="0" w:right="0"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5.13. Информация о работе Совета </w:t>
      </w:r>
      <w:r>
        <w:rPr>
          <w:rFonts w:ascii="Times New Roman" w:hAnsi="Times New Roman" w:cs="Times New Roman"/>
          <w:sz w:val="28"/>
          <w:szCs w:val="28"/>
        </w:rPr>
        <w:t xml:space="preserve">размещается на оф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циальном сайте Артемовского городского округа.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851" w:right="567" w:bottom="822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0"/>
      <w:jc w:val="center"/>
    </w:pPr>
    <w:fldSimple w:instr="PAGE \* MERGEFORMAT"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eastAsia="Times New Roman" w:cs="Times New Roman"/>
        <w:sz w:val="28"/>
        <w:szCs w:val="28"/>
      </w:rPr>
    </w:r>
    <w:r>
      <w:rPr>
        <w:rFonts w:ascii="Times New Roman" w:hAnsi="Times New Roman" w:eastAsia="Times New Roman" w:cs="Times New Roman"/>
        <w:sz w:val="28"/>
        <w:szCs w:val="28"/>
      </w:rPr>
    </w:r>
    <w:r/>
  </w:p>
  <w:p>
    <w:pPr>
      <w:pStyle w:val="70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pPr>
      <w:spacing w:after="200" w:line="276" w:lineRule="auto"/>
    </w:pPr>
    <w:rPr>
      <w:rFonts w:ascii="Calibri" w:hAnsi="Calibri" w:cs="Calibri"/>
      <w:sz w:val="22"/>
      <w:szCs w:val="22"/>
      <w:lang w:val="ru-RU" w:eastAsia="en-US" w:bidi="ar-SA"/>
    </w:rPr>
  </w:style>
  <w:style w:type="character" w:styleId="851">
    <w:name w:val="Основной шрифт абзаца"/>
    <w:next w:val="851"/>
    <w:link w:val="850"/>
    <w:semiHidden/>
  </w:style>
  <w:style w:type="table" w:styleId="852">
    <w:name w:val="Обычная таблица"/>
    <w:next w:val="852"/>
    <w:link w:val="850"/>
    <w:semiHidden/>
    <w:tblPr/>
  </w:style>
  <w:style w:type="numbering" w:styleId="853">
    <w:name w:val="Нет списка"/>
    <w:next w:val="853"/>
    <w:link w:val="850"/>
    <w:semiHidden/>
  </w:style>
  <w:style w:type="paragraph" w:styleId="854">
    <w:name w:val="Верхний колонтитул"/>
    <w:basedOn w:val="850"/>
    <w:next w:val="854"/>
    <w:link w:val="855"/>
    <w:pPr>
      <w:tabs>
        <w:tab w:val="center" w:pos="4677" w:leader="none"/>
        <w:tab w:val="right" w:pos="9355" w:leader="none"/>
      </w:tabs>
    </w:pPr>
  </w:style>
  <w:style w:type="character" w:styleId="855">
    <w:name w:val="Верхний колонтитул Знак"/>
    <w:next w:val="855"/>
    <w:link w:val="854"/>
    <w:semiHidden/>
    <w:rPr>
      <w:rFonts w:ascii="Calibri" w:hAnsi="Calibri" w:cs="Calibri"/>
      <w:sz w:val="22"/>
      <w:szCs w:val="22"/>
      <w:lang w:val="ru-RU" w:eastAsia="en-US" w:bidi="ar-SA"/>
    </w:rPr>
  </w:style>
  <w:style w:type="character" w:styleId="856">
    <w:name w:val="Номер страницы"/>
    <w:next w:val="856"/>
    <w:link w:val="850"/>
    <w:rPr>
      <w:rFonts w:cs="Times New Roman"/>
    </w:rPr>
  </w:style>
  <w:style w:type="paragraph" w:styleId="857">
    <w:name w:val="Текст выноски"/>
    <w:basedOn w:val="850"/>
    <w:next w:val="857"/>
    <w:link w:val="850"/>
    <w:semiHidden/>
    <w:rPr>
      <w:rFonts w:ascii="Tahoma" w:hAnsi="Tahoma" w:cs="Tahoma"/>
      <w:sz w:val="16"/>
      <w:szCs w:val="16"/>
    </w:rPr>
  </w:style>
  <w:style w:type="character" w:styleId="858" w:default="1">
    <w:name w:val="Default Paragraph Font"/>
    <w:uiPriority w:val="1"/>
    <w:semiHidden/>
    <w:unhideWhenUsed/>
  </w:style>
  <w:style w:type="numbering" w:styleId="859" w:default="1">
    <w:name w:val="No List"/>
    <w:uiPriority w:val="99"/>
    <w:semiHidden/>
    <w:unhideWhenUsed/>
  </w:style>
  <w:style w:type="table" w:styleId="8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Work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veselova</dc:creator>
  <cp:revision>11</cp:revision>
  <dcterms:created xsi:type="dcterms:W3CDTF">2014-07-24T23:35:00Z</dcterms:created>
  <dcterms:modified xsi:type="dcterms:W3CDTF">2024-04-03T02:30:00Z</dcterms:modified>
  <cp:version>917504</cp:version>
</cp:coreProperties>
</file>