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left="567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Приложение 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УТВЕРЖДЕН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постановлени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администрации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 w:right="-170" w:firstLine="0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Артемовского городского округа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5670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от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№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</w:r>
      <w:r>
        <w:rPr>
          <w:rFonts w:ascii="Times New Roman" w:hAnsi="Times New Roman" w:cs="Times New Roman"/>
          <w:sz w:val="36"/>
          <w:szCs w:val="36"/>
        </w:rPr>
      </w:r>
    </w:p>
    <w:p>
      <w:pPr>
        <w:pStyle w:val="859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59"/>
        <w:ind w:firstLine="709"/>
        <w:jc w:val="center"/>
        <w:spacing w:line="336" w:lineRule="auto"/>
        <w:rPr>
          <w:rFonts w:ascii="PT Astra Serif" w:hAnsi="PT Astra Serif" w:cs="PT Astra Serif"/>
          <w:b/>
          <w:bCs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ПОРЯДОК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859"/>
        <w:ind w:firstLine="709"/>
        <w:jc w:val="center"/>
        <w:spacing w:line="240" w:lineRule="auto"/>
        <w:rPr>
          <w:rFonts w:ascii="PT Astra Serif" w:hAnsi="PT Astra Serif" w:cs="PT Astra Serif"/>
          <w:b/>
          <w:bCs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</w:t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  <w:t xml:space="preserve">    (далее - Порядок)</w:t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left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1. Общие положения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.1. Настоящий Порядок определяет цель, условия и порядок предоставления субсидий, выделяемых из бюджета Артемовского городского округа субъектам малого и среднего предпринимательства, физическим лицам, в том числе индивидуальным предпринимателям, применяющ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им специальный налоговый режим (далее - Субсидии), а также требования к отчетности и к осуществлению контроля.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ind w:left="0" w:right="0" w:firstLine="709"/>
        <w:jc w:val="both"/>
        <w:spacing w:after="0" w:afterAutospacing="0" w:line="336" w:lineRule="auto"/>
        <w:shd w:val="nil" w:color="auto"/>
        <w:rPr>
          <w:rFonts w:ascii="PT Astra Serif" w:hAnsi="PT Astra Serif" w:cs="PT Astra Serif"/>
          <w:sz w:val="28"/>
          <w:szCs w:val="28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1.2. 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Субсидии предоставляются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режим, с целью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создания условий для развития малого и среднего предпр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нимательства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 территории Артемовского городского округа одним из следующих способов: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ind w:left="0" w:right="0" w:firstLine="709"/>
        <w:jc w:val="both"/>
        <w:spacing w:after="0" w:afterAutospacing="0" w:line="336" w:lineRule="auto"/>
        <w:shd w:val="nil" w:color="auto"/>
        <w:rPr>
          <w:rFonts w:ascii="PT Astra Serif" w:hAnsi="PT Astra Serif" w:cs="PT Astra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возмещения части затрат, связанных с приобретением оборудования в целях создания и (или) развития либо модернизации производства товаров (работ, услуг);</w:t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after="0" w:afterAutospacing="0" w:line="336" w:lineRule="auto"/>
        <w:shd w:val="nil" w:color="auto"/>
        <w:rPr>
          <w:rFonts w:ascii="PT Astra Serif" w:hAnsi="PT Astra Serif" w:cs="PT Astra Serif"/>
          <w:sz w:val="28"/>
          <w:szCs w:val="28"/>
          <w:highlight w:val="none"/>
          <w14:ligatures w14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возмещения части затрат, связанных с уплатой лизинговых платежей по договорам финансовой аренды (лизинга).</w:t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  <w:r>
        <w:rPr>
          <w:rFonts w:ascii="PT Astra Serif" w:hAnsi="PT Astra Serif" w:cs="PT Astra Serif"/>
          <w:sz w:val="28"/>
          <w:szCs w:val="28"/>
          <w:highlight w:val="none"/>
          <w14:ligatures w14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1.3. Термины, используемые в Порядке: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 - субъект малого и среднего предпринимательства, физическое лицо, в том числе индивидуальный предприниматель, применяющий специальный налоговый режим, участвующий в отборе и претендующий на получение Субсидии.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олучатель субсидии - Претендент на получение Субсидии, который является победителем отбора и в отношении которого комиссией по отбору субъектов малого и среднего предпринимательства для оказания поддержки (далее - Комиссия) принято решение о предоставлении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Субсидии.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рвоначальный лизинговый платеж по договору финансовой аренды (лизинга) - платеж, указанный в договоре финансовой аренды (лизинга), как авансовый или первоначальный, уплачиваемый лизингополучателем до момента передачи ему оборудования лизингодателем (далее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- первый взнос (аванс)), размер которого составляет не более 50 процентов от суммы договора финансовой аренды (лизинга).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борудование - совокупность различного рода машин (за исключением легковых автомобилей и транспортных средств, предназначенных для перевозки грузов, имеющих максимальную массу менее 3,5 тонны), механизмов, оказывающих в процессе производства продукции, выпо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лнения работ, оказания услуг непосредственное механическое, термическое или химическое воздействие на предмет труда.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Модернизация - работы, вызванные изменением технологического или служебного назначения оборудования, здания, сооружения или нового объекта амортизируемых основных средств, повышенными нагрузками и (или) другими новыми качествами.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фициальный сайт Артемовского городского округа в информационно-телекоммуникационной сети «Интернет»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– официальный сайт.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Комиссия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по отбору субъектов малого и среднего предпринимательства для оказания поддержки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(далее - Комиссия)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-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постоянно действующий совещательный орган, который создан в администрации Артемовского городского округа в целях выработки предложений о формах, объемах, сроках и условиях финансовой подд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ержки субъектов малого и среднего предпринимательства, организаций, образующих инфраструктуру поддержки субъектов малого и среднего предпринимательства, а также принятия решения о предоставлении им финансовой поддержки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или об отказе в их предоставлении.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eastAsia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Результат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–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приобретение Получателем субсидии не менее одной единицы оборудования с использованием средств субсидии в текущем финансовом году.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Показатель достижения результата -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создание Получателем субсидии не менее 1 (одного) рабочего места в текущем финансовом году.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4. Субсидии предоставляются в соответствии со сводной бюджетной росписью бюджета Артемовского городского округа, кассовым планом исполнения местного бюджета в пределах лимитов бюджетных обязательств, доведенных администрации Артемовского городского округа,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как главному распорядителю и получателю бюджетных средств на текущий финансовый год на данные цели.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1.5. Главным распорядителем бюджетных средств, направляемых на предоставление Субсидий, является администрация Артемовского городского округа </w:t>
      </w:r>
      <w:r>
        <w:rPr>
          <w:rFonts w:ascii="PT Astra Serif" w:hAnsi="PT Astra Serif" w:eastAsia="PT Astra Serif" w:cs="PT Astra Serif"/>
          <w:bCs/>
          <w:sz w:val="28"/>
          <w:szCs w:val="28"/>
        </w:rPr>
        <w:t xml:space="preserve">(далее – ГРБС).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1.6.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Информация о субсидии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подлежит размещению на едином портале бюджетной системы Российской Федерации «Электронный бюджет» (далее – система «Электронный бюджет»)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не позднее 15-го дня, следующего за днем принятия решения о бюджете Артемовского городского округа (решения о внесении изменений в бюджет).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1.7. Уполномоченным органом по реализации настоящего Порядка является управление потребительского рынка и предпринимательства администрации Артемовского городского округа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(далее –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полномоченный орган</w:t>
      </w:r>
      <w:r>
        <w:rPr>
          <w:sz w:val="24"/>
          <w:szCs w:val="24"/>
        </w:rPr>
        <w:t xml:space="preserve">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left"/>
        <w:spacing w:after="0" w:afterAutospacing="0" w:line="336" w:lineRule="auto"/>
        <w:rPr>
          <w:rFonts w:ascii="PT Astra Serif" w:hAnsi="PT Astra Serif" w:cs="PT Astra Serif"/>
          <w:b/>
          <w:bCs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2. Порядок проведения отбора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2.1.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Отбор Претендентов, кото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рым будут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предоставляться Субсидии, осуществляется методом запроса предложений исходя из соответствия претендентов категориям и (или) критериям и очередности поступления предложений (заявок) на участие в отборе претендентов. Отбор осуществляется комиссией по отбору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субъектов малого и среднего предпринимательства, физических лиц, в т.ч. индивидуальных предпринимателей, применяющих специальный налоговый режим, для оказания поддержки, созданной и утвержденной постановлением администрации Артемовского городского округа.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2.2. Решение о проведении отбора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принимает Уполномоченный орган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(ежегодно не позднее 1 июля текущего финансового года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о чем на интернет-странице "Малое и среднее предпринимательство" официального сайта Артемовского городского округа (с 1 января 2025 года в системе «Электронный бюджет») размещает объявление о проведении отбора с указанием: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Даты начала подачи и окончания приема заявок участников отбора, при этом дата окончания приема заявок не может быть ранее: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10-го календарного дня, с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ледующего за днем размещения объявления о проведении отбора, – в случае если получатель субсидии определяется по результатам запроса предложений и отсутствует информация о количестве получателей субсидии, соответствующих категории и (или) критериям отбора.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5-го календарного дн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я, следующего за днем размещения объявления о проведении отбора, – в случае если получатель субсидии определяется по результатам запроса предложений и имеется информация о количестве получателей субсидии, соответствующих категории и (или) критериям отбора.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доменного имени и (или) указателями страниц государственной информационной системы в сети «Интернет»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категорий и (или) критерий отбора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объема распределяемой субсидии в рамках отбора, порядка расчета размера с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убсидии, установленный правовым актом,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предельное количество победителей отбора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условий признания победителя (победителей) отбора уклонившимся от заключения соглашения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PT Astra Serif" w:hAnsi="PT Astra Serif" w:eastAsia="PT Astra Serif" w:cs="PT Astra Serif"/>
          <w:sz w:val="28"/>
          <w:szCs w:val="28"/>
          <w:highlight w:val="whit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сроков размещения протокола подведения итогов отбора (документа об 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итогах проведения отбора) на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официальном сайте,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с 1 января 2025 г. в 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 (а также при необходимости на официальном сайте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которые не могут быть позднее 14-го календарного дня,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следующего за днем определения победителя отбора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наименований, местонахождения, почтового адреса, адреса электронной почты Уполномоченного органа;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целей и результатов предоставления Субсидии;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требований к Претендентам в соответствии с настоящим Порядком и перечня документов, представляемых участниками отбора для подтверждения их соответствия указанным требованиям;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порядка подачи заявок Претендентами и требований, предъявляемых к форме и содержанию заявок, подаваемых Претендентами;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порядка отзыва заявок Претендентов, порядка возврата заявок Претендентов, определяющего в том числе основания для возврата заявок Претендентов, порядка внесения изменений в заявки Претендентов;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правил рассмотрения заявок Претендентов;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порядка предоставления Претендентам разъяснений положений объявления о проведении отбора, даты начала и окончания срока такого предоставления;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срока, в течение которого победитель (победители) отбора (далее - Получатель субсидии) должен подписать соглашение о предоставлении Субсидии (далее - Соглашение);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2.3. Право на получение Субсидии предоставляется Претендентам, соответствующим одновременно следующим критериям: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регистрация на территории Артемовского городского округа;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осуществление деятельности на территории Артемовского городского округа более одного года;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оответствие условиям, установленным статьей 4 Федерального закона от 24.07.2007 № 209-ФЗ «О развитии малого и среднего предпринимательства в Российской Федерации» (далее - Закон), сведения о которых содержатся в Едином реестре субъектов малого и среднего 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редпринимательства;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ид деятельности, условия ее осуществления или сумма доходов Претендентов - физических лиц, применяющих специальный налоговый режим, не попадают в перечень исключений, указанных в ст. 4 и 6 Федерального закона от 27.11.2018 № 422-ФЗ «О проведении эксперимен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та по установлению специального налогового режима «Налог на профессиональный доход» и для ведения деятельности не привлекают наемных работников по трудовым договорам;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осуществление экономической деятельности по приоритетным видам экономической деятельности, определенным муниципальной программой «Развитие малого и среднего предпринимательства на территории Артемовского городского округа», утвержденной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остановлением администрации Артемовского городского округа от 04.02.2019 № 84-па. Для целей предоставления Субсидий вид деятельности Претендента определяется исходя из основного вида экономической деятельности, указанного в выписке из Единого государственн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ого реестра юридических лиц (индивидуальных предпринимателей);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существление выплат среднемесячной заработной платы на уровне не ниже величины прожиточного минимума трудоспособного населения, установленного на территории Приморского края, а также отсутствие задолженности по заработной плате перед работниками на момент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обращения за Субсидией;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взятие на себя обязательства о создании нового рабочего места и (или) создавшим в текущем финансовом году новое рабочее место и предоставление не позднее 20 декабря года получения Субсидии, отчета о создании нового рабочего места с прило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жением подтверждающих документов.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2.4. Отбор претендентов получателей субсидий производится: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2.4.1. С 1 января 2024 г. до 1 января 2025 г. с использованием официального сайта Артемовского городского округа в информационно-телекоммуникационной сети «Интернет».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2.4.2. С 1 января 2025 г. в государственной интегрированной информационной системе управления общественными финансами «Электронный бюджет». 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2.5.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Требования которым должен соответствовать Претендент на дату подачи заявки на участие в отборе на получение Субсидий, установленные подпунктом «а» пункта 3 раз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дела 2 Постановления Правительства Российской Федерации от 25.10.2023 №1782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ш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еских лиц, реализованное через участие в капитале указанных публичных акционерных обществ;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не должен получать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ссийской Федерации, муниципальных правовых актов на цели, установленные правовым актом;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 не должен являться иностранным агентом в соответствии с Федеральным законом «О контроле за деятельностью лиц, находящихся под иностранным влиянием»;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 претендента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на едином налоговом счете должна отсутствовать или не превышать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системы Российской Федерации;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 претендента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должна отсутствовать просроченная задолженность по возврату в бюджет субъекта Российской Федерации (местный бюджет),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нных соответственно высшим исполнительным органом субъекта Российской Федерации (местной администрацией);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являющийся юридическим лицом,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ц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а), ликвидации, в отношении его не введена процедура банкротства, деятельность получателя субсидии (участника отбора) не приостановлена в порядке, предусмотренном законодательством Российской Федерации, а претендент, являющийся 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ндивидуальным предпринимателем, не прекратил деятельность в качестве индивидуального предпринимателя;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contextualSpacing w:val="0"/>
        <w:ind w:firstLine="709"/>
        <w:jc w:val="both"/>
        <w:spacing w:after="0" w:afterAutospacing="0" w:line="336" w:lineRule="auto"/>
        <w:widowControl w:val="off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реестре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(при наличии) претендента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 являющегося юридическим лицом, об индивидуальном предпринимателе и о физическом лице - производителе товаров, работ, услуг, являющихся претендентами.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b w:val="0"/>
          <w:bCs w:val="0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 w:val="0"/>
          <w:bCs w:val="0"/>
          <w:sz w:val="28"/>
          <w:szCs w:val="28"/>
        </w:rPr>
        <w:t xml:space="preserve">2.6. Требования к Претендентам:</w:t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  <w:r>
        <w:rPr>
          <w:rFonts w:ascii="PT Astra Serif" w:hAnsi="PT Astra Serif" w:cs="PT Astra Serif"/>
          <w:b w:val="0"/>
          <w:bCs w:val="0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тсутствие в выписке из Единого государственного реестра юридических лиц (индивидуальных предпринимателей) в качестве основного и (или) дополнительного вида экономической деятельности производства и (или) реализации подакцизных товаров; добычи и (или) реали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зации полезных ископаемых, за исключением общераспространенных полезных ископаемых;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Претендент (лизингополучатель) не должен являться одновременно продавцом по договору купли-продажи предмета лизинга в рамках одного лизингового правоотношения;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отношении договора финансовой аренды (лизинга) на дату подачи заявки на участие в отборе на предоставление Субсидии не должна быть осуществлена переуступка прав лизингополучателя;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договор финансовой аренды (лизинга) должен быть заключен в российской валюте;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договор финансовой аренды (лизинга) не должен являться договором субаренды (сублизинга), а также иметь дополнительных соглашений, предусматривающих передачу предмета лизинга в субаренду (сублизинг);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среднесписочная численность работников Претендента за предшествующий календарный год и (или) на дату подачи заявления не должна быть равной нулю.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.7. С объявления начала проведения отбора Претендент представляет в Уполномоченный орган заявку по форме согласно приложению 1 к настоящему Порядку, которая включает в том числе согласие на публикацию (размещение) в информационно-телекоммуникационной сети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Интернет информации о Претенденте, о подаваемой им заявке, иной информации, связанной с соответствующим отбором, а также согласие на обработку персональных данных (для физических лиц).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рием и регистрация заявок с указанием регистрационного номера и даты поступления в журнале регистрации субъектов малого и среднего предпринимательства на получение финансовой поддержки, который должен быть пронумерован, прошнурован, скреплен печатью Уполно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моченного органа, осуществляется должностным лицом Уполномоченного органа в течение одного рабочего дня с даты поступления заявки в Уполномоченный орган.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2.8.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По истечении срока приема заявок Уполномоченный орган в течение трех рабочих дней осуществляет проверку поступивших заявок на предмет их соответствия установленным в объявлении о проведении отбора требованиям, в том числе требованиям установленным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пунктом 2.3 раздела 2 настоящего Положения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2.9. Основания для отклонения заявки Претендента на стадии ее рассмотрения: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несоответствие участника отбора требованиям, установленным в пп. 2.3 и 2.5 настоящего Порядка;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несоответствие представленных Претендентом заявок и документов требованиям к заявкам Претендентов, установленным в объявлении о проведении отбора;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недостоверность представленной Претендентом информации, в том числе информации о местонахождении и адресе юридического лица;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подача Претендентом заявки после даты и (или) времени, определенных для подачи заявок.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2.10. В течение 14 календарных дней после принятия решения о предоставлении Субсидии на сайте Артемовского городского округа размещается протокол о результатах рассмотрения заявок, включающая следующие сведения: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дата, время и место проведения рассмотрения заявок;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информация о Претендентах, заявки которых были рассмотрены;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информация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 Претендентах,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наименование Получателя (Получателей) субсидии, с которым заключается Договор, и размер предоставляемой ему субсидии.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b/>
          <w:bCs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3. Условия и порядок предоставления Субсидий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3.1. Претенденты несут полную ответственность за достоверность представляемой информации.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3.2. Для участия в отборе и получения Субсидии претендент представляет в Уполномоченный орган вместе с заявкой следующие документы: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расчет размера Субсидии по форме согласно приложению 2 к настоящему Порядку;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случае создания нового рабочего места в текущем финансовом году до даты подачи заявки - отчет по форме согласно приложению 3 к настоящему Порядку, с приложением подтверждающих документов;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случае отсутствия факта создания нового рабочего места в текущем финансовом году - обязательство согласно приложению 4 к настоящему Порядку;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оригинал справки, выданной кредитной организацией, о наличии действующего расчетного счета, оформленного на данного индивидуального предпринимателя или юридическое лицо, с указанием полных банковских реквизитов;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копии учредительных документов (для юридических лиц) или копию документа, удостоверяющего личность (для индивидуальных предпринимателей);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случае применения индивидуальными предпринимателями патентной системы налогообложения предоставляется копия патента с отметкой налогового органа;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опии бухгалтерского баланса и отчета о прибылях и убытках, а также копии налоговых деклараций (в случае применения специальных налоговых режимов) за предшествующий календарный год с отметкой налогового органа (для юридических лиц); копии налоговых декларац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ий по применяемым системам налогообложения за предшествующий календарный год с отметкой налогового органа (для индивидуальных предпринимателей);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бухгалтерские документы, подтверждающие постановку на баланс основных средств, оборудования;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обязательство по осуществлению затрат, подлежащих возмещению за счет Субсидии, с расчетных счетов Претендента, открытых в кредитных организациях (банках);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опии документов, подтверждающих отнесение оборудования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N 1 "О Классиф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икации основных средств, включаемых в амортизационные группы";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выписку из Единого государственного реестра юридических лиц (индивидуальных предпринимателей), выданную не ранее 30 дней до даты подачи документов;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ыписку из реестра дисквалифицированных лиц либо справку об отсутствии запрашиваемой информации, выданные в соответствии с приказом ФНС России от 10.12.2019 N ММВ-7-14/627 "Об утверждении Административного регламента по предоставлению Федеральной налоговой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службой государственной услуги по предоставлению заинтересованным лицам сведений, содержащихся в реестре дисквалифицированных лиц";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справку об уровне среднемесячной заработной платы работников предприятия и об отсутствии задолженности по выплате заработной платы перед работниками, составленную на дату подачи документов.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в состав учредителей Претендента - юридического лица входят юридические лица, то необходимо подтвердить, что они являются субъектами малого и среднего предпринимательства и соответствуют условиям, установленным статьей 4 Закона.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целях возмещения части затрат, связанных с приобретением оборудования в целях создания и (или) развития либо модернизации производства товаров (работ, услуг), Претендентом дополнительно представляются документы, подтверждающие фактически произведенные зат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раты: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технико-экономическое обоснование приобретения оборудования в целях создания и (или) развития либо модернизации производства товаров (работ, услуг) по форме согласно приложению 5 к настоящему Порядку;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копии платежных поручений, подтверждающие затраты, связанные с приобретением оборудования Претендентом;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копии документов, подтверждающих затраты Претендента, связанные с приобретением в собственность оборудования, включая затраты на монтаж оборудования (договоры, счета, счета-фактуры, товарные накладные, акты выполненных работ).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целях возмещения части затрат, связанных с уплатой лизинговых платежей по договорам финансовой аренды (лизинга), Претендентом дополнительно представляются документы, подтверждающие фактически произведенные затраты: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копия договора финансовой аренды (лизинга) с приложением копий всех приложений и дополнительных соглашений к договору финансовой аренды (лизинга) (при наличии), а также копий графика лизинговых платежей, заверенных лизинговой компанией;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копия акта приема-передачи оборудования, полученного лизингополучателем по договору финансовой аренды (лизинга), заверенная лизинговой компанией;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копия договора купли-продажи, заверенная лизинговой компанией;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копии платежных поручений с отметкой банка об исполнении, подтверждающих уплату Претендентом первого взноса (аванса);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копия паспорта транспортного средства (в случае если предметом лизинга является транспортное средство).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.3. Документы представляются лично руководителем субъекта малого и среднего предпринимательства (лицом, имеющим право без доверенности действовать от имени субъекта малого и среднего предпринимательства) или через представителя субъекта малого и среднего 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редпринимательства на основании доверенности, выданной субъектом малого и среднего предпринимательства. Подача документов по почте не предусмотрена.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Копии всех документов представляются вместе с подлинниками документов. После сверки подлинники документов возвращаются Претендентам.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Документы, представленные Претендентами, должны быть все заверены подписью руководителя и скреплены печатью (при наличии).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Наличие в документах подчисток, приписок, зачеркнутых слов и иных неоговоренных в них исправлений, а также повреждений, не позволяющих однозначно истолковать их содержание, не допускается.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Документы, поступившие от Претендента, возврату не подлежат.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ретендент вправе представить по собственной инициативе выписку из Единого государственного реестра юридических лиц (индивидуальных предпринимателей), выписку из реестра дисквалифицированных лиц либо справку об отсутствии запрашиваемой информации, выданные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соответствии с приказом ФНС России от 10.12.2019 N ММВ-7-14/627 "Об утверждении Административного регламента по предоставлению Федеральной налоговой службой государственной услуги по предоставлению заинтересованным лицам сведений, содержащихся в реестре д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сквалифицированных лиц", выданные не ранее 30 календарных дней до даты подачи в Уполномоченный орган документов, указанных в пункте 3.2 настоящего Порядка. В случае непредставления Субъектами документов, указанных в настоящем абзаце, Уполномоченный орган 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течение 5 рабочих дней со дня окончания приема документов запрашивает соответствующую информацию в порядке межведомственного информационного взаимодействия.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ретендент до окончания срока приема документов, установленного в объявлении о проведении отбора, вправе заменить документы, указанные в п. 3.2 настоящего Порядка, путем направления в Уполномоченный орган подписанного руководителем субъекта малого и среднег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 предпринимательства уведомления с приложением документов, подлежащих замене.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Датой замены документов, указанных в п. 3.2 настоящего Порядка, является дата поступления в Уполномоченный орган письменного уведомления с приложением документов, подлежащих замене.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ретендент вправе до окончания срока представления документов, установленного в объявлении о проведении отбора, отозвать свои документы путем направления в Уполномоченный орган письменного уведомления, подписанного руководителем субъекта малого и среднего 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редпринимательства.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3.4. По истечении срока проверки заявок Уполномоченный орган осуществляет проверку поступивших документов на предмет их соответствия требованиям настоящего Порядка - в течение трех рабочих дней с даты окончания срока, отведенного на проверку заявок;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роверяет наличие сведений о Претенденте в едином реестре субъектов малого и среднего предпринимательства на официальном сайте Федеральной налоговой службы в сети Интернет - в течение трех рабочих дней с даты окончания срока, отведенного на проверку заявок;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целях установления неисполненной обязанности Претендентов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направляется запрос в порядке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межведомственного информационного взаимодействия - в течение пяти рабочих дней с даты окончания срока, отведенного на проверку заявок;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осуществляет контроль за правильным расчетом размера Субсидии и его соответствие документам, подтверждающим фактические объемы затрат Претендента - в течение пяти рабочих дней с даты окончания срока проверки заявок;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производит оценку документов в течение пяти рабочих дней с даты поступления в Уполномоченный орган ответов на межведомственные запросы;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 позднее, чем за три рабочих дня до заседания Комиссии информирует членов Комиссии и Претендентов о дате проведения заседания и о возможности для членов Комиссии предварительно ознакомиться с документами, предоставленными Претендентами.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3.5. Комиссия в течение 30 календарных дней со дня истечения срока приема заявок на получение Субсидии проводит заседание, где осуществляет отбор Претендентов.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ешение об определении победителей отбора - Получателей субсидии принимается Комиссией на основании совокупного анализа представленных Претендентами заявок простым большинством голосов от числа присутствующих на заседании членов и оформляется протоколом зас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едания, в котором указываются: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присутствующие на заседании члены комиссии;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наименование Претендентов, заявки которых рассмотрены;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результаты голосования;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принятое решение.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Протокол подписывается председателем и секретарем Комиссии и утверждается распоряжением администрации Артемовского городского округа (далее - распоряжение).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полномоченный орган в течение двух рабочих дней с даты принятия распоряжения направляет каждому Претенденту письменное уведомление о соответствующем принятом решении о предоставлении Субсидии или об отказе в предоставлении Субсидии по форме согласно прилож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ению 6 к настоящему Порядку.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случае принятия решения о предоставлении Субсидии одновременно с уведомлением направляется проект Соглашения в двух экземплярах. Соглашение о предоставлении Субсидии заключается между администрацией Артемовского городского округа и Получателем субсидии, 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отношении которого принято решение о предоставлении Субсидии. Соглашение заключается в соответствии с типовой формой, утвержденной приказом финансового управления администрации Артемовского городского округа.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 течение двух рабочих дней со дня получения проекта Соглашения Получатель субсидии возвращает в Уполномоченный орган подписанное Соглашение в двух экземплярах.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случае отказа от подписания Соглашения или нарушения сроков его подписания Комиссия вправе аннулировать решение о предоставлении Субсидии, в связи с чем в течение 5 (пяти) календарных дней со дня принятия решения об аннулировании решения о предоставлении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Субсидии направляется письменное уведомление заказным письмом и (или) по электронной почте Претенденту.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3.6. В предоставлении Субсидии Претенденту отказывается: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 основаниям, указанным в части 5 статьи 14 Закона;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 несоответствии представленных Претендентом документов требованиям, определенным пп. 2.3 и 2.5 настоящего Порядка;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лимит бюджетных обязательств на текущий финансовый год в рамках предоставления Субсидий, предусмотренных п. 1.2 настоящего Порядка, исчерпан в полном объеме;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Претендент является кредитной организацией, страховой организацией (за исключением потребительских кооперативов), инвестиционным фондом, негосударственным пенсионным фондом, профессиональным участником рынка ценных бумаг, ломбардом;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Претендент является участником соглашений о разделе продукции;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Претендент осуществляет предпринимательскую деятельность в сфере игорного бизнеса;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имеются ограничения на осуществление хозяйственной деятельности в соответствии с законодательством Российской Федерации;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 установлении факта недостоверности представленной Претендентом информации;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если имеются нарушения порядка и условий оказания поддержки и если с даты установления нарушения прошло менее чем три года.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.7. Субсидия на возмещение части затрат, связанных с приобретением оборудования в целях создания и (или) развития либо модернизации производства товаров (работ, услуг), предоставляется единовременно из расчета 50 процентов документально подтвержденных затр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ат от стоимости оборудования в пределах бюджетных ассигнований доведенных до ГРБС в текущем финансовом году на эти цели.</w:t>
      </w: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С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тоимость приобретенного оборудования принимается к возмещению без учета налога на добавленную стоимость. Субсидия предоставляется по договорам, обязательства по которым исполнены и оплачены не ранее 1 января года, предшествующего году получения Субсидии. Д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оговор должен предусматривать приобретение оборудования в собственность, и поставщиком оборудования должно быть юридическое лицо либо индивидуальный предприниматель.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Предмето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 заключенного лизингового договора должно являться следующее оборудование: устройства, механизмы, транспортные средства (за исключением легковых автомобилей), станки, приборы, аппараты,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(за исключением средств 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лефонной и сотовой связи, офисной и копировально-множительной техники, в том числе принтеров, сканеров, мониторов, компьютеров)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агрегаты, установки, машины, средства и технологии (далее - оборудова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ие), относящиеся ко второй и выше амортизационным группам Классификации основных средств, включаемых в амортизационные группы, утвержденной Постановлением Правительства Российской Федерации от 01.01.2002 N 1 "О Классификации основных средств, включаемых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амортизационные группы",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 исключением оборудования, предназначенного для осуществления оптовой и розничной торговой деятельности субъекта малого и среднего предпринимательства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борудование приобретается по договору (договорам), предметом которого (которых) является оборудование, устройства, механизмы, транспортные средства (за исключением легковых автомобилей и воздушных судов), станки, приборы, аппараты (за исключением средств 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лефонной и сотовой связи, офисной и копировально-множительной техники, в том числе принтеров, сканеров, мониторов, компьютеров), агрегаты, установки, машины, относящиеся ко второй и выше амортизационным группам Классификации основных средств, включаемых в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амортизационные группы, действующей на момент подачи заявки на получение Субсидии, за исключением оборудования, предназначенного для осуществления оптовой и розничной торговой деятельности с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убъек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та малого и среднего предпринимательств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cs="PT Astra Serif"/>
          <w:sz w:val="28"/>
          <w:szCs w:val="28"/>
          <w:highlight w:val="none"/>
        </w:rPr>
        <w:t xml:space="preserve">В случае если запрошенный размер субсидии соответствующему критериям отбора претенденту оказывается менее предусмотренных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бюджетных ассигнований доведенных до главного распорядителя бюджетных средств в текущем финансовом году на эти цели, остаток субсидии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распределяется между следующими претендентами соответствующим критериям отбора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 порядке очередности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, с учетом критериев предусмотренных абзацем первым п. 3.7 настоящего порядка.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  <w:highlight w:val="whit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3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.8. Субсидия на возмещение части затрат, связанных с уплатой лизинговых платежей по договорам финансовой аренды (лизинга), предоставляется из расчета 10 процентов от общей стоимости договора финансовой аренды (лизинга), но не более 100 процентов документал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ьно подтвержденных фактических затрат, связанных с уплатой первого взноса (аванса) по договорам финансовой аренды (лизинга), заключенным не ранее 12 (двенадцати) месяцев до дня подачи заявки, на срок не менее одного года и не более 5 (пяти) ле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  <w:t xml:space="preserve">т.</w:t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  <w:r>
        <w:rPr>
          <w:rFonts w:ascii="PT Astra Serif" w:hAnsi="PT Astra Serif" w:eastAsia="PT Astra Serif" w:cs="PT Astra Serif"/>
          <w:sz w:val="28"/>
          <w:szCs w:val="28"/>
          <w:highlight w:val="whit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 случае если запрошенный размер субсидии соответствующему критериям отбора претенденту оказывается менее предусмотренных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бюджетных ассигнований доведенных до главного распорядителя бюджетных средств в текущем финансовом году на эти цели, остаток субсидии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распределяется между следующими претендентами соответствующим критериям отбора 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в порядке очередности</w:t>
      </w:r>
      <w:r>
        <w:rPr>
          <w:rFonts w:ascii="PT Astra Serif" w:hAnsi="PT Astra Serif" w:cs="PT Astra Serif"/>
          <w:sz w:val="28"/>
          <w:szCs w:val="28"/>
          <w:highlight w:val="none"/>
        </w:rPr>
        <w:t xml:space="preserve">, с учетом критериев предусмотренных абзацем первым п. 3.7 настоящего порядка.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При расчете Субсидии в составе затрат не учитываются затраты на уплату налога на добавленную стоимость.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3.9.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Субсидии предоставляются на основании Соглашения, заключенного между администрацией Артемовского городского округа и Получателем субсидии по типовой форме утвержденной финансовым управлением администрации Артемовского городского округа,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начиная с 1 января 2025 г. в государственной интегрированной информационной системе управления общественными финансами «Электронный бюджет»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полномоченный орган на основании распоряжения и заключенного Соглашения в течение двух рабочих дней со дня заключения Соглашения формирует реестр Получателей субсидий по форме согласно приложению 7 к настоящему Порядку и направляет его в управление бухга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лтерского учета и выплат администрации Артемовского городского округа.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правление бухгалтерского учета и выплат администрации Артемовского городского округа в течение 4 (четырех) рабочих дней со дня получения реестра Получателей субсидий оформляет заявку на финансирование, платежное поручение на перечисление Субсидии на счет П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олучателя субсидии, указанный в Соглашении, и передает в Управление Федерального казначейства по Приморскому краю с приложением документов, служащих основанием для платежа.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Перечисление субсидии осуществляется не позднее 10-го рабочего дня после принятия распоряжения.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beforeAutospacing="0" w:after="0" w:line="360" w:lineRule="auto"/>
        <w:rPr>
          <w:rFonts w:ascii="PT Astra Serif" w:hAnsi="PT Astra Serif" w:cs="PT Astra Serif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Перечисле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ние субсидии осуществляются на расчетные или корреспондентские счета, открытые получателям субсидий в учреждениях Центрального банка Российской Федерации или кредитных организациях (если иное не установлено бюджетным законодательством Российской Федерации)</w:t>
      </w:r>
      <w:r>
        <w:rPr>
          <w:rFonts w:ascii="PT Astra Serif" w:hAnsi="PT Astra Serif" w:cs="PT Astra Serif"/>
          <w:sz w:val="28"/>
          <w:szCs w:val="28"/>
          <w14:ligatures w14:val="none"/>
        </w:rPr>
      </w:r>
      <w:r>
        <w:rPr>
          <w:rFonts w:ascii="PT Astra Serif" w:hAnsi="PT Astra Serif" w:cs="PT Astra Serif"/>
          <w:sz w:val="28"/>
          <w:szCs w:val="28"/>
          <w14:ligatures w14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3.10.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м в соглашении юридического лица, являющегося правопреемником;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принимателем Соглашение расто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р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ется субсидия, и возврате неиспользованного остатка субсидии в бюджет Артемовского городского округа;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b/>
          <w:bCs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4. Требования к отчетности</w:t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  <w:r>
        <w:rPr>
          <w:rFonts w:ascii="PT Astra Serif" w:hAnsi="PT Astra Serif" w:cs="PT Astra Serif"/>
          <w:b/>
          <w:bCs/>
          <w:sz w:val="28"/>
          <w:szCs w:val="28"/>
          <w:highlight w:val="none"/>
        </w:rPr>
      </w:r>
    </w:p>
    <w:p>
      <w:pPr>
        <w:pStyle w:val="859"/>
        <w:ind w:left="0" w:right="0" w:firstLine="663"/>
        <w:jc w:val="both"/>
        <w:spacing w:after="0" w:afterAutospacing="0" w:line="336" w:lineRule="auto"/>
        <w:rPr>
          <w:rFonts w:ascii="PT Astra Serif" w:hAnsi="PT Astra Serif" w:eastAsia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4.1. В це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ях анализа результативности использования бюджетных средств Получатели субсидии обязаны предоставить в Уполномоченный орган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ежеквартально не позднее 10 числа месяца следующего за отчетным кварталом, годовой отчет не позднее 20 декабря года получения субсидий отчетные документы в соответствии с заключенным Соглашением.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4.2. Уполномоченный орган в течение 10 рабочих дней со дня поступления документов указанных в пункте 4.1 проверяет полученные документы и принимает отчетность. В случае несоответствия документов установленным форм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ам, данных указанных в отчетных документах уполномоченные орган возвращает документы на доработку получателю субсидии в течении 3 рабочих дней получатель субсидии исправляет выявленные недочеты и повторно направляет пакет документов в уполномоченный орган.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b/>
          <w:bCs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b/>
          <w:bCs/>
          <w:sz w:val="28"/>
          <w:szCs w:val="28"/>
        </w:rPr>
        <w:t xml:space="preserve">5. Требования к осуществлению контроля </w:t>
      </w:r>
      <w:r>
        <w:rPr>
          <w:rFonts w:ascii="PT Astra Serif" w:hAnsi="PT Astra Serif" w:cs="PT Astra Serif"/>
          <w:b/>
          <w:bCs/>
          <w:sz w:val="28"/>
          <w:szCs w:val="28"/>
        </w:rPr>
      </w:r>
      <w:r>
        <w:rPr>
          <w:rFonts w:ascii="PT Astra Serif" w:hAnsi="PT Astra Serif" w:cs="PT Astra Serif"/>
          <w:b/>
          <w:bCs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eastAsia="PT Astra Serif" w:cs="PT Astra Serif"/>
          <w:sz w:val="28"/>
          <w:szCs w:val="28"/>
        </w:rPr>
        <w:t xml:space="preserve">5.1. В соответствии с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казом Минфина России от 29 сентября 2021 г. № 138-н "Об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-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производителям товаров, работ, услуг"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уполномоченный орган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утверждает план мероприятий по достижению результатов предоставления субсидии, в котором отражаются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контрольные точки по каждому результату предоставления субсидии, плановые значения результатов предоставления субсидии с указанием контрольных точек и плановых сроков их достижения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 указанием не менее одной контрольной точки в квартал.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Оценка достижения получателем субсидии значений результата предоставления субсидии осуществляется на основании отчета о реализации Плана мероприятий, предоставляемого получателем субсидии в уполномоченный орган.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.2. Контроль за соблюдением условий и порядка предоставления и использования Субсидий осуществляется в форме обязательной проверки главным распорядителем бюджетных средств, предоставившим Субсидию (при необходимости организует выездные проверки), и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органами муниципального финансового контроля в соответствии с полномочиями, установленными муниципальными правовыми актами и ст. 268.1 и 269.2 Бюджетным кодексом Российской Федерации. 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5.3. В случае выявления уполномоченным органом,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органами муниципального финансового контроля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нарушений условий и порядка предоставления субсидий, в том числе недостижение результата (показателей) предоставления субсидий,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нарушения получателем субсидии условий, установленных при предоставлении субсидии, выявленного в том числе по фактам проверок,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субсидия подлежит возврату в бюджет Артемовского городского округа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 случае недостижения в установленные соглашением сроки значения результата предоставления субсидии получателю субсидии начисляется пеня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 размере одной трехсотшестидесятой ключевой ставки Центрального банка Российской Федерации, действующей на дату начала начи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с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ления пени, от суммы субсидии, подлежащей возврату, за каждый день просрочки (с первого дня, следующего за плановой датой достижения результата предоставления субсидии до дня возврата субсидии (части субсидии) в соответствующий бюджет) (при необходимости);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  <w:highlight w:val="none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 случае нарушения получателем субсидии условий, установленных при предоставлении субсидии, выявленных в том числе по фактам проверок, проведенных уполномоченным органом,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органами муниципального финансового контроля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к получателю субсидии будут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применены штрафные санкции.</w:t>
      </w:r>
      <w:r>
        <w:rPr>
          <w:rFonts w:ascii="PT Astra Serif" w:hAnsi="PT Astra Serif" w:cs="PT Astra Serif"/>
          <w:sz w:val="28"/>
          <w:szCs w:val="28"/>
          <w:highlight w:val="none"/>
        </w:rPr>
      </w:r>
      <w:r>
        <w:rPr>
          <w:rFonts w:ascii="PT Astra Serif" w:hAnsi="PT Astra Serif" w:cs="PT Astra Serif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5.4. Субсидия подлежит возврату в полном объеме в случае: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установления факта предоставления Получателем субсидии недостоверных сведений;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выявления факта отсутствия ведения Получателем субсидии предпринимательской деятельности в течение последующих двух календарных лет с момента получения Субсидии;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недостижения показателей результативности использования бюджетных средств;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непредставления отчетной информации, указанной в разделе 4 настоящего Порядка;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нарушения Получателем субсидии условий, установленных при их предоставлении, выявленного по фактам проверок, проведенных главным распорядителем бюджетных средств и (или) Уполномоченным органом.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.5. Решение о возврате Субсидии Получателем субсидии принимается Комиссией в десятидневный срок со дня установления нарушения и оформляется протоколом. В течение пяти рабочих дней с момента принятия решения Комиссией Уполномоченный орган направляет Получат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елю субсидии письменное требование о возврате Субсидии.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5.6. Возврат Субсидии производится Получателем субсидии в течение 15 календарных дней со дня получения письменного требования о возврате Субсидии по платежным реквизитам и коду классификации доходов бюджетов Российской Федерации, указанных в требовании.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5.7. Возврат денежных средств производится в порядке, установленном законодательством Российской Федерации и Соглашением.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59"/>
        <w:ind w:left="0" w:right="0" w:firstLine="709"/>
        <w:jc w:val="both"/>
        <w:spacing w:after="0" w:afterAutospacing="0" w:line="336" w:lineRule="auto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5.8. В случае невозврата Субсидии в указанный срок взыскание средств с Получателя субсидии производится в судебном порядке в соответствии с Российским законодательством.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sectPr>
      <w:headerReference w:type="default" r:id="rId9"/>
      <w:footnotePr/>
      <w:endnotePr/>
      <w:type w:val="nextPage"/>
      <w:pgSz w:w="11906" w:h="16838" w:orient="portrait"/>
      <w:pgMar w:top="1134" w:right="567" w:bottom="1134" w:left="1729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MS Mincho">
    <w:panose1 w:val="020205030504050903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729244"/>
      <w:rPr/>
    </w:sdtPr>
    <w:sdtContent>
      <w:p>
        <w:pPr>
          <w:pStyle w:val="86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8</w:t>
        </w:r>
        <w:r>
          <w:fldChar w:fldCharType="end"/>
        </w:r>
        <w:r/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1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13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85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57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29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01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73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45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17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5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4"/>
    <w:uiPriority w:val="34"/>
    <w:qFormat/>
    <w:pPr>
      <w:contextualSpacing/>
      <w:ind w:left="720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6"/>
    <w:link w:val="867"/>
    <w:uiPriority w:val="99"/>
  </w:style>
  <w:style w:type="character" w:styleId="709">
    <w:name w:val="Footer Char"/>
    <w:basedOn w:val="856"/>
    <w:link w:val="869"/>
    <w:uiPriority w:val="99"/>
  </w:style>
  <w:style w:type="paragraph" w:styleId="710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9"/>
    <w:uiPriority w:val="99"/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55">
    <w:name w:val="Heading 3"/>
    <w:basedOn w:val="854"/>
    <w:link w:val="86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No Spacing"/>
    <w:uiPriority w:val="1"/>
    <w:qFormat/>
    <w:rPr>
      <w:sz w:val="22"/>
      <w:szCs w:val="22"/>
      <w:lang w:eastAsia="en-US"/>
    </w:rPr>
  </w:style>
  <w:style w:type="table" w:styleId="860">
    <w:name w:val="Table Grid"/>
    <w:basedOn w:val="8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1" w:customStyle="1">
    <w:name w:val="Заголовок 3 Знак"/>
    <w:basedOn w:val="856"/>
    <w:link w:val="85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2">
    <w:name w:val="Normal (Web)"/>
    <w:basedOn w:val="8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3">
    <w:name w:val="Hyperlink"/>
    <w:basedOn w:val="856"/>
    <w:uiPriority w:val="99"/>
    <w:semiHidden/>
    <w:unhideWhenUsed/>
    <w:rPr>
      <w:color w:val="0000ff"/>
      <w:u w:val="single"/>
    </w:rPr>
  </w:style>
  <w:style w:type="character" w:styleId="864" w:customStyle="1">
    <w:name w:val="Основной текст 2 Знак"/>
    <w:basedOn w:val="856"/>
    <w:link w:val="865"/>
    <w:rPr>
      <w:rFonts w:eastAsia="MS Mincho"/>
      <w:sz w:val="24"/>
      <w:szCs w:val="24"/>
    </w:rPr>
  </w:style>
  <w:style w:type="paragraph" w:styleId="865">
    <w:name w:val="Body Text 2"/>
    <w:basedOn w:val="854"/>
    <w:link w:val="864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styleId="866" w:customStyle="1">
    <w:name w:val="Основной текст 2 Знак1"/>
    <w:basedOn w:val="856"/>
    <w:uiPriority w:val="99"/>
    <w:semiHidden/>
    <w:rPr>
      <w:sz w:val="22"/>
      <w:szCs w:val="22"/>
      <w:lang w:eastAsia="en-US"/>
    </w:rPr>
  </w:style>
  <w:style w:type="paragraph" w:styleId="867">
    <w:name w:val="Header"/>
    <w:basedOn w:val="854"/>
    <w:link w:val="86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56"/>
    <w:link w:val="867"/>
    <w:uiPriority w:val="99"/>
    <w:rPr>
      <w:sz w:val="22"/>
      <w:szCs w:val="22"/>
      <w:lang w:eastAsia="en-US"/>
    </w:rPr>
  </w:style>
  <w:style w:type="paragraph" w:styleId="869">
    <w:name w:val="Foot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6"/>
    <w:link w:val="869"/>
    <w:uiPriority w:val="99"/>
    <w:rPr>
      <w:sz w:val="22"/>
      <w:szCs w:val="22"/>
      <w:lang w:eastAsia="en-US"/>
    </w:rPr>
  </w:style>
  <w:style w:type="paragraph" w:styleId="871">
    <w:name w:val="Balloon Text"/>
    <w:basedOn w:val="854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6"/>
    <w:link w:val="871"/>
    <w:uiPriority w:val="99"/>
    <w:semiHidden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72FF8E-CFCE-48CF-9F2F-6E306489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35</cp:revision>
  <dcterms:created xsi:type="dcterms:W3CDTF">2019-12-05T01:50:00Z</dcterms:created>
  <dcterms:modified xsi:type="dcterms:W3CDTF">2024-03-29T02:17:10Z</dcterms:modified>
</cp:coreProperties>
</file>