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529" w:right="-1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29" w:right="-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29" w:right="-1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29" w:right="-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29" w:right="-1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29" w:right="-1"/>
        <w:rPr>
          <w:sz w:val="28"/>
          <w:szCs w:val="28"/>
        </w:rPr>
      </w:pPr>
      <w:r>
        <w:rPr>
          <w:sz w:val="28"/>
          <w:szCs w:val="28"/>
        </w:rPr>
        <w:t xml:space="preserve">Артемовского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29" w:right="-1"/>
        <w:rPr>
          <w:sz w:val="28"/>
          <w:szCs w:val="28"/>
        </w:rPr>
      </w:pPr>
      <w:r>
        <w:rPr>
          <w:sz w:val="28"/>
          <w:szCs w:val="28"/>
        </w:rPr>
        <w:t xml:space="preserve">от                             №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300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ПОРЯДОК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субсидий на возмещение </w:t>
      </w:r>
      <w:r>
        <w:rPr>
          <w:b/>
          <w:bCs/>
          <w:sz w:val="28"/>
          <w:szCs w:val="28"/>
        </w:rPr>
        <w:t xml:space="preserve">обществу с ограниченной ответственностью «Специализированная служба по вопросам похоронного дела «Ритуал-Сервис» </w:t>
      </w:r>
      <w:r>
        <w:rPr>
          <w:b/>
          <w:sz w:val="28"/>
          <w:szCs w:val="28"/>
        </w:rPr>
        <w:t xml:space="preserve">стоимости услуг по погребению умерших, не подлежащих об</w:t>
      </w:r>
      <w:r>
        <w:rPr>
          <w:b/>
          <w:sz w:val="28"/>
          <w:szCs w:val="28"/>
        </w:rPr>
        <w:t xml:space="preserve">язательному социальному страхованию на случай          временной нетрудоспособности и в связи с материнством на день смерти и не являющихся пенсионерами, а также в случае рождения мертвого        ребенка по истечении 154 дней беременности, предоставляемых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согласно гарантированному перечню услуг по погребению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numPr>
          <w:ilvl w:val="0"/>
          <w:numId w:val="7"/>
        </w:numPr>
        <w:jc w:val="both"/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Общие положения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Настоящий </w:t>
      </w:r>
      <w:r>
        <w:rPr>
          <w:sz w:val="28"/>
          <w:szCs w:val="28"/>
        </w:rPr>
        <w:t xml:space="preserve">Порядок предоставления субсидий обществу с ограниченной ответственностью «Специали</w:t>
      </w:r>
      <w:r>
        <w:rPr>
          <w:sz w:val="28"/>
          <w:szCs w:val="28"/>
        </w:rPr>
        <w:t xml:space="preserve">зированная служба по вопросам похоронного дела «Ритуал-Сервис» (далее – ООО «Специализированная служба по вопросам похоронного дела «Ритуал-Сервис») на возмещение стоимости услуг по погребению умерших, не подлежащих обязательному социальному страхованию на</w:t>
      </w:r>
      <w:r>
        <w:rPr>
          <w:sz w:val="28"/>
          <w:szCs w:val="28"/>
        </w:rPr>
        <w:t xml:space="preserve">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 </w:t>
      </w:r>
      <w:r>
        <w:rPr>
          <w:color w:val="000000"/>
          <w:sz w:val="28"/>
          <w:szCs w:val="28"/>
        </w:rPr>
        <w:t xml:space="preserve">(далее – Порядок), разработан в целях </w:t>
      </w:r>
      <w:r>
        <w:rPr>
          <w:sz w:val="28"/>
          <w:szCs w:val="28"/>
        </w:rPr>
        <w:t xml:space="preserve">организации ритуальных услуг на территории Артемовского городского округа, осуществления государственных полномочий в сфере погребения и похоронного дела,</w:t>
      </w:r>
      <w:r>
        <w:rPr>
          <w:color w:val="000000"/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 xml:space="preserve">Бюджетным кодексом Российской Федерации, Федеральным законом от 06.10.2003 № 131-ФЗ «Об общих принципах организа</w:t>
      </w:r>
      <w:r>
        <w:rPr>
          <w:sz w:val="28"/>
          <w:szCs w:val="28"/>
        </w:rPr>
        <w:t xml:space="preserve">ции местного самоуправления в Российской Федерации», постановления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</w:t>
      </w:r>
      <w:r>
        <w:rPr>
          <w:sz w:val="28"/>
          <w:szCs w:val="28"/>
        </w:rPr>
        <w:t xml:space="preserve">субъектов Российской Федерации, местных бюджетов субсидий, в том числе грантов в форме субсидий, юридическим лицам, индивидуальным предпринимателям, </w:t>
      </w:r>
      <w:r>
        <w:rPr>
          <w:sz w:val="28"/>
          <w:szCs w:val="28"/>
        </w:rPr>
        <w:t xml:space="preserve">а также физи</w:t>
      </w:r>
      <w:r>
        <w:rPr>
          <w:sz w:val="28"/>
          <w:szCs w:val="28"/>
        </w:rPr>
        <w:t xml:space="preserve">ческим лицам - производителям товаров, работ, услуг и проведение отборов получателей указанных субсидий, в том числе грантов в форме субсидий», законами Приморского края от 23.12.2005             № 332-КЗ «О погребении и похоронном деле в Приморском крае»,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от 09.08.2021 № 1130-КЗ «О наделении органов местного самоуправления муниципальных районов, муниципальных и городских округов Приморского края отдельным государственным полно</w:t>
      </w:r>
      <w:r>
        <w:rPr>
          <w:sz w:val="28"/>
          <w:szCs w:val="28"/>
        </w:rPr>
        <w:t xml:space="preserve">мочием в сфере погребения и похоронного дела», постановлением Правительства Приморского края   от 30.08.2021 № 570-пп «О Порядке предоставления субвенций бюджетам муниципальных образований Приморского края на осуществление отдельного государственного полно</w:t>
      </w:r>
      <w:r>
        <w:rPr>
          <w:sz w:val="28"/>
          <w:szCs w:val="28"/>
        </w:rPr>
        <w:t xml:space="preserve">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</w:t>
      </w:r>
      <w:r>
        <w:rPr>
          <w:sz w:val="28"/>
          <w:szCs w:val="28"/>
        </w:rPr>
        <w:t xml:space="preserve">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погребению», постановлением администрации Артемовского городского округа от 03.09.2020 № 2215-па «</w:t>
      </w:r>
      <w:r>
        <w:rPr>
          <w:bCs/>
          <w:sz w:val="28"/>
          <w:szCs w:val="28"/>
        </w:rPr>
        <w:t xml:space="preserve">Об утверждении Порядка организации ритуальных услуг и содержания мест захоронения на территории Артемовского городского округа; об определении специализированной службы по вопросам похоронного дела»</w:t>
      </w:r>
      <w:r>
        <w:rPr>
          <w:sz w:val="28"/>
          <w:szCs w:val="28"/>
        </w:rPr>
        <w:t xml:space="preserve">; решением Думы Артемовского городского округа от 28.05.2020 № 426 «О Положении об организации ритуальных услуг и содержании мест захоронения на территории Артемовского городского округа».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1.2. Порядок устанавливает условия и правила предоставления субсидий ООО «Специализированн</w:t>
      </w:r>
      <w:r>
        <w:rPr>
          <w:sz w:val="28"/>
          <w:szCs w:val="28"/>
        </w:rPr>
        <w:t xml:space="preserve">ая служба по вопросам похоронного дела «Ритуал-Сервис» на возмещение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</w:t>
      </w:r>
      <w:r>
        <w:rPr>
          <w:sz w:val="28"/>
          <w:szCs w:val="28"/>
        </w:rPr>
        <w:t xml:space="preserve">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 (далее – Услуги).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Денежные средства, предусмотренные в бюджете Артемовского городского округа на цели,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указанные в п. 1.5 настоящего Порядка,</w:t>
      </w:r>
      <w:r>
        <w:rPr>
          <w:sz w:val="28"/>
          <w:szCs w:val="28"/>
        </w:rPr>
        <w:t xml:space="preserve"> расходуются на предоставление субсидий ООО «Специализированная служба по вопросам похоронного дела «Ритуал-Сервис» </w:t>
      </w:r>
      <w:r>
        <w:rPr>
          <w:sz w:val="28"/>
          <w:szCs w:val="28"/>
          <w:highlight w:val="white"/>
        </w:rPr>
        <w:t xml:space="preserve">на возмещение </w:t>
      </w:r>
      <w:r>
        <w:rPr>
          <w:sz w:val="28"/>
          <w:szCs w:val="28"/>
          <w:highlight w:val="white"/>
        </w:rPr>
        <w:t xml:space="preserve">затрат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</w:rPr>
        <w:t xml:space="preserve"> связанных с оказанием Услуг (далее – предоставление субсидии).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средств, предусмотренных в бюджете Артемовского городского округа на цели, </w:t>
      </w:r>
      <w:r>
        <w:rPr>
          <w:sz w:val="28"/>
          <w:szCs w:val="28"/>
          <w:highlight w:val="white"/>
        </w:rPr>
        <w:t xml:space="preserve">указанные в п. 1.5 настоящего Порядка,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являются </w:t>
      </w:r>
      <w:r>
        <w:rPr>
          <w:sz w:val="28"/>
          <w:szCs w:val="28"/>
        </w:rPr>
        <w:t xml:space="preserve">субвенции</w:t>
      </w:r>
      <w:r>
        <w:rPr>
          <w:sz w:val="28"/>
          <w:szCs w:val="28"/>
        </w:rPr>
        <w:t xml:space="preserve"> предоставляемые министерством труда и социальной политики Приморского края из краевого бюджета (далее – Министерство).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Субсидии предоставляются в пределах субвенций, предоставляемых из краевого бюджета бюджету Артемовского городского округа на соответствующий финансовый год на указанные цели.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1.3. Главным распорядителем бюджетных средств, до которого в соответствии с бюджетны</w:t>
      </w:r>
      <w:r>
        <w:rPr>
          <w:sz w:val="28"/>
          <w:szCs w:val="28"/>
        </w:rPr>
        <w:t xml:space="preserve">м законодательством Российской Федерации, как получателем бюджетных средств доведены в установленном порядке лимиты бюджетных обязательств на предоставление субсидий на соответствующий финансовый год, является администрация Артемовского городского округа.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1.4. Уполномоченным органом является управление потребительского рынка и предпринимательства администрации Артемовского городского округа (далее – Уполномоченный орган).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1.5. Цель предоставления субсидии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возмещение затрат, понесенных специализированной службой по вопросам похоронного дела, в связи с оказанием услуг по погр</w:t>
      </w:r>
      <w:r>
        <w:rPr>
          <w:sz w:val="28"/>
          <w:szCs w:val="28"/>
        </w:rPr>
        <w:t xml:space="preserve">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</w:t>
      </w:r>
      <w:r>
        <w:rPr>
          <w:sz w:val="28"/>
          <w:szCs w:val="28"/>
        </w:rPr>
        <w:t xml:space="preserve">предоставляемых согласно гарантированному перечню услуг по погребению, в целях достижения результата предоставления субсидий.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  <w:lang w:val="ru-RU"/>
        </w:rPr>
        <w:t xml:space="preserve">Способ предоставления субсидии - </w:t>
      </w:r>
      <w:r>
        <w:rPr>
          <w:sz w:val="28"/>
          <w:szCs w:val="28"/>
          <w:highlight w:val="white"/>
        </w:rPr>
        <w:t xml:space="preserve">возмещение затрат, понесенных специализированной службой по вопросам похоронного дела.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1.6. Результатом предоставления субсидии является количество тел умерших, не подлежащих обязательному социальному страхованию на случай временной не</w:t>
      </w:r>
      <w:r>
        <w:rPr>
          <w:sz w:val="28"/>
          <w:szCs w:val="28"/>
        </w:rPr>
        <w:t xml:space="preserve">трудоспособности и в связи с материнством на день смерти и не</w:t>
      </w:r>
      <w:r>
        <w:rPr>
          <w:sz w:val="28"/>
          <w:szCs w:val="28"/>
        </w:rPr>
        <w:t xml:space="preserve"> являющихся пенсионерами, а также в случае рождения мертвого ребенка по истечении 154 дней беременности, погребение которых было выполнено специализированной службой по вопросам похоронного дела. Значение результатов предоставления субсидии устанавливаются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Соглашением, заключенным в соответствии с п.2.3 настоящего Порядка.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1.7. В случае уменьшения главному распорядителю бюджетных средств ранее доведенных лимитов бюджетных обязательств, приводяще</w:t>
      </w:r>
      <w:r>
        <w:rPr>
          <w:sz w:val="28"/>
          <w:szCs w:val="28"/>
        </w:rPr>
        <w:t xml:space="preserve">го к невозможности предоставления Субсидии в размере, определенном в Соглашении, между Получателем субсидии и администрацией Артемовского городского округа заключается дополнительное Соглашение о согласовании новых условий или о расторжении Соглашения при </w:t>
      </w:r>
      <w:r>
        <w:rPr>
          <w:sz w:val="28"/>
          <w:szCs w:val="28"/>
        </w:rPr>
        <w:t xml:space="preserve">недостижении</w:t>
      </w:r>
      <w:r>
        <w:rPr>
          <w:sz w:val="28"/>
          <w:szCs w:val="28"/>
        </w:rPr>
        <w:t xml:space="preserve"> согласия по новым условиям.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1.8. Получатель субсидий на возмещение затрат, понесенных специализированной службой по вопросам похоронного дела, по погребению умерших, не подлежащих обязательному социальному страхованию на случай временной нетрудоспособности и в свя</w:t>
      </w:r>
      <w:r>
        <w:rPr>
          <w:sz w:val="28"/>
          <w:szCs w:val="28"/>
        </w:rPr>
        <w:t xml:space="preserve">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 определен постановлением главы Артемовского </w:t>
      </w:r>
      <w:r>
        <w:rPr>
          <w:sz w:val="28"/>
          <w:szCs w:val="28"/>
          <w:highlight w:val="white"/>
        </w:rPr>
        <w:t xml:space="preserve">городского округа от 10.03.2025 № 31-рг «Об определении общества с ограниченной ответственностью «Специализированная служба по вопросам похоронного дела «Ритуал-Сервис» получателем субсидий».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Условия и порядок предоставления субсидии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2.1. Субсидии предоставляются специализированной службе по вопросам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похоронного  дела  Артемовского  городского  округа  при  соблюдении  ею </w:t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0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следующих условий: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1) заключение Соглашения с администрацией Артемовского городского округа о предоставлении субсидии на </w:t>
      </w:r>
      <w:r>
        <w:rPr>
          <w:sz w:val="28"/>
          <w:szCs w:val="28"/>
          <w:highlight w:val="white"/>
        </w:rPr>
        <w:t xml:space="preserve">возмещение </w:t>
      </w:r>
      <w:r>
        <w:rPr>
          <w:sz w:val="28"/>
          <w:szCs w:val="28"/>
          <w:highlight w:val="white"/>
        </w:rPr>
        <w:t xml:space="preserve">затрат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</w:rPr>
        <w:t xml:space="preserve"> связанных с выполнением Услуг на соответствующий финансовый год (далее – Соглашение)</w:t>
      </w:r>
      <w:r>
        <w:t xml:space="preserve"> </w:t>
      </w:r>
      <w:r>
        <w:rPr>
          <w:sz w:val="28"/>
          <w:szCs w:val="28"/>
          <w:highlight w:val="white"/>
        </w:rPr>
        <w:t xml:space="preserve">в соответствии с типовой формой, утвержденной приказом финансового управления администрации Артемовского городского округа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2) выполнение Услуг на территории Артемовского городского округа;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num" w:pos="0" w:leader="none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3) предоставление документов для получения субсидии на возмещение стоимости Услуг, установленных </w:t>
      </w:r>
      <w:r>
        <w:rPr>
          <w:sz w:val="28"/>
          <w:szCs w:val="28"/>
        </w:rPr>
        <w:t xml:space="preserve">пп</w:t>
      </w:r>
      <w:r>
        <w:rPr>
          <w:sz w:val="28"/>
          <w:szCs w:val="28"/>
        </w:rPr>
        <w:t xml:space="preserve">. 2.4.2 настоящего Порядка.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9"/>
        <w:ind w:left="0" w:right="0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2.2.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пециализированная служба по в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просам похоронного дела</w:t>
      </w:r>
      <w:r>
        <w:rPr>
          <w:sz w:val="28"/>
          <w:szCs w:val="28"/>
        </w:rPr>
        <w:t xml:space="preserve"> на первое </w:t>
      </w:r>
      <w:r>
        <w:rPr>
          <w:sz w:val="28"/>
          <w:szCs w:val="28"/>
        </w:rPr>
        <w:t xml:space="preserve">число месяца, предшествующего месяцу, в котором пл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нируется </w:t>
      </w:r>
      <w:r>
        <w:rPr>
          <w:sz w:val="28"/>
          <w:szCs w:val="28"/>
        </w:rPr>
        <w:t xml:space="preserve">заключе</w:t>
      </w:r>
      <w:r>
        <w:rPr>
          <w:sz w:val="28"/>
          <w:szCs w:val="28"/>
        </w:rPr>
        <w:t xml:space="preserve">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очередной</w:t>
      </w:r>
      <w:r>
        <w:rPr>
          <w:sz w:val="28"/>
          <w:szCs w:val="28"/>
        </w:rPr>
        <w:t xml:space="preserve"> финансовый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</w:t>
      </w:r>
      <w:r>
        <w:rPr>
          <w:sz w:val="28"/>
          <w:szCs w:val="28"/>
        </w:rPr>
        <w:t xml:space="preserve">олучатель)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должна отвечать следующим требованиям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719"/>
        <w:ind w:left="0" w:right="0" w:firstLine="709"/>
        <w:jc w:val="both"/>
        <w:spacing w:line="360" w:lineRule="auto"/>
        <w:tabs>
          <w:tab w:val="num" w:pos="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получатель субсидий не должен являться иностранным юридическим лицом</w:t>
      </w:r>
      <w:r>
        <w:rPr>
          <w:sz w:val="28"/>
          <w:szCs w:val="28"/>
        </w:rPr>
        <w:t xml:space="preserve">, в том числе мест</w:t>
      </w:r>
      <w:r>
        <w:rPr>
          <w:sz w:val="28"/>
          <w:szCs w:val="28"/>
        </w:rPr>
        <w:t xml:space="preserve">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а так</w:t>
      </w:r>
      <w:r>
        <w:rPr>
          <w:sz w:val="28"/>
          <w:szCs w:val="28"/>
        </w:rPr>
        <w:t xml:space="preserve">же российским юридическим лицом, в уставном капитале которого</w:t>
      </w:r>
      <w:r>
        <w:rPr>
          <w:sz w:val="28"/>
          <w:szCs w:val="28"/>
        </w:rPr>
        <w:t xml:space="preserve"> доля прямого или косвенного участия офшорных компаний в совокупности превышает 25 процентов (если иное не предусмотрено законодательством Российской Федерации).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нерных обществ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sz w:val="28"/>
          <w:szCs w:val="28"/>
          <w:highlight w:val="none"/>
        </w:rPr>
        <w:t xml:space="preserve">получатель субсидии не </w:t>
      </w:r>
      <w:r>
        <w:rPr>
          <w:sz w:val="28"/>
          <w:szCs w:val="28"/>
        </w:rPr>
        <w:t xml:space="preserve">должен</w:t>
      </w:r>
      <w:r>
        <w:rPr>
          <w:sz w:val="28"/>
          <w:szCs w:val="28"/>
          <w:highlight w:val="none"/>
        </w:rPr>
        <w:t xml:space="preserve">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spacing w:line="360" w:lineRule="auto"/>
        <w:rPr>
          <w:sz w:val="28"/>
          <w:szCs w:val="28"/>
          <w:highlight w:val="none"/>
          <w:lang w:val="ru-RU"/>
        </w:rPr>
      </w:pPr>
      <w:r>
        <w:rPr>
          <w:sz w:val="28"/>
          <w:szCs w:val="28"/>
          <w:highlight w:val="none"/>
        </w:rPr>
        <w:t xml:space="preserve">получатель субсидии не </w:t>
      </w:r>
      <w:r>
        <w:rPr>
          <w:sz w:val="28"/>
          <w:szCs w:val="28"/>
        </w:rPr>
        <w:t xml:space="preserve">должен</w:t>
      </w:r>
      <w:r>
        <w:rPr>
          <w:sz w:val="28"/>
          <w:szCs w:val="28"/>
          <w:highlight w:val="none"/>
        </w:rPr>
        <w:t xml:space="preserve"> находиться в составляемых в рамках реализации полномочий, предусмотренных главой </w:t>
      </w:r>
      <w:r>
        <w:rPr>
          <w:sz w:val="28"/>
          <w:szCs w:val="28"/>
          <w:highlight w:val="none"/>
          <w:lang w:val="en-US"/>
        </w:rPr>
        <w:t xml:space="preserve">VII </w:t>
      </w:r>
      <w:r>
        <w:rPr>
          <w:sz w:val="28"/>
          <w:szCs w:val="28"/>
          <w:highlight w:val="none"/>
          <w:lang w:val="ru-RU"/>
        </w:rPr>
        <w:t xml:space="preserve">Устава ООН, Советом Безопасности ООН или органами, специально созданными решениями Совета Безопасности ООН, перечнях организаций и </w:t>
      </w:r>
      <w:r>
        <w:rPr>
          <w:sz w:val="28"/>
          <w:szCs w:val="28"/>
          <w:highlight w:val="none"/>
        </w:rPr>
        <w:t xml:space="preserve">физических лиц</w:t>
      </w:r>
      <w:r>
        <w:rPr>
          <w:sz w:val="28"/>
          <w:szCs w:val="28"/>
          <w:highlight w:val="none"/>
          <w:lang w:val="ru-RU"/>
        </w:rPr>
        <w:t xml:space="preserve">, связанных с террористическими организациями и террористами или с распространением оружия массового уничтожения;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получатель субсидий не </w:t>
      </w:r>
      <w:r>
        <w:rPr>
          <w:sz w:val="28"/>
          <w:szCs w:val="28"/>
        </w:rPr>
        <w:t xml:space="preserve">должен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получать средства из </w:t>
      </w:r>
      <w:r>
        <w:rPr>
          <w:sz w:val="28"/>
          <w:szCs w:val="28"/>
        </w:rPr>
        <w:t xml:space="preserve">бюджет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Артемовск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го городского округа, из которого планируется предоставление субсидии в соответствии с иными муниципальными правовыми актами</w:t>
      </w:r>
      <w:r>
        <w:rPr>
          <w:sz w:val="28"/>
          <w:szCs w:val="28"/>
        </w:rPr>
        <w:t xml:space="preserve"> на цели, указанные в пункте 1.5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Порядка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получатель субсидии не </w:t>
      </w:r>
      <w:r>
        <w:rPr>
          <w:sz w:val="28"/>
          <w:szCs w:val="28"/>
        </w:rPr>
        <w:t xml:space="preserve">должен</w:t>
      </w:r>
      <w:r>
        <w:rPr>
          <w:sz w:val="28"/>
          <w:szCs w:val="28"/>
          <w:highlight w:val="none"/>
        </w:rPr>
        <w:t xml:space="preserve">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9"/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 получателя субсидии на едином налогом счете должна отсутствовать или не превышать размер, определенный пунктом 3 статьи 47 Налогового кодекса Российской Федерации, задолженность по уплате налогов, сборов и иных обязательных платежей </w:t>
      </w:r>
      <w:r>
        <w:rPr>
          <w:sz w:val="28"/>
          <w:szCs w:val="28"/>
        </w:rPr>
        <w:t xml:space="preserve">в бю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жеты бюджетной системы Российской Федерации,</w:t>
      </w:r>
      <w:r>
        <w:rPr>
          <w:sz w:val="28"/>
          <w:szCs w:val="28"/>
        </w:rPr>
        <w:t xml:space="preserve"> срок исполнения по которым наст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пил в соо</w:t>
      </w:r>
      <w:r>
        <w:rPr>
          <w:sz w:val="28"/>
          <w:szCs w:val="28"/>
        </w:rPr>
        <w:t xml:space="preserve">тветствии с законодательством Российской Федерации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9"/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у получателя субсидии</w:t>
      </w:r>
      <w:r>
        <w:rPr>
          <w:sz w:val="28"/>
          <w:szCs w:val="28"/>
        </w:rPr>
        <w:t xml:space="preserve"> должна отсутствовать просроченная задолженность по возврату в местный</w:t>
      </w:r>
      <w:r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 xml:space="preserve">Артемовск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го городского округа субсидий, бюджетных инвестиций, предоставленных в том числе в соо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ветствии с иными правовыми актами</w:t>
      </w:r>
      <w:r>
        <w:rPr>
          <w:sz w:val="28"/>
          <w:szCs w:val="28"/>
        </w:rPr>
        <w:t xml:space="preserve"> Артемовского</w:t>
      </w:r>
      <w:r>
        <w:rPr>
          <w:sz w:val="28"/>
          <w:szCs w:val="28"/>
        </w:rPr>
        <w:t xml:space="preserve"> городского округа, а также иной</w:t>
      </w:r>
      <w:r>
        <w:rPr>
          <w:sz w:val="28"/>
          <w:szCs w:val="28"/>
        </w:rPr>
        <w:t xml:space="preserve"> проср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ченной задолженности</w:t>
      </w:r>
      <w:r>
        <w:rPr>
          <w:sz w:val="28"/>
          <w:szCs w:val="28"/>
        </w:rPr>
        <w:t xml:space="preserve"> по денежным обязательствам Артемовского городского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9"/>
        <w:ind w:left="0" w:right="0"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получатель субсидий не должен </w:t>
      </w:r>
      <w:r>
        <w:rPr>
          <w:sz w:val="28"/>
          <w:szCs w:val="28"/>
        </w:rPr>
        <w:t xml:space="preserve">находится в процессе реорганизации, лик</w:t>
      </w:r>
      <w:r>
        <w:rPr>
          <w:sz w:val="28"/>
          <w:szCs w:val="28"/>
        </w:rPr>
        <w:t xml:space="preserve">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2.3. Субсидия предоставляется на основании Соглашения, заключенного с администрацией Артемовского городского округа о предоставлении субсидии на соответствующий финансовый год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типовой формой, утвержденной приказом финансового управления администрации Артемовского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Для заключения Соглашения на получение субсидии Получатель предоставляет в Уполномоченный орган </w:t>
      </w:r>
      <w:r>
        <w:rPr>
          <w:sz w:val="28"/>
          <w:szCs w:val="28"/>
          <w:highlight w:val="white"/>
        </w:rPr>
        <w:t xml:space="preserve">не позднее 30 дней </w:t>
      </w:r>
      <w:r>
        <w:rPr>
          <w:sz w:val="28"/>
          <w:szCs w:val="28"/>
          <w:highlight w:val="white"/>
        </w:rPr>
        <w:t xml:space="preserve">со дня вступления в силу решения Думы о</w:t>
      </w:r>
      <w:r>
        <w:rPr>
          <w:sz w:val="28"/>
          <w:szCs w:val="28"/>
        </w:rPr>
        <w:t xml:space="preserve"> бюджете Артемовского городского округа (о внесении изменений в решение Думы о бюджете), предусматривающие бюджетные ассигнования на предоставление субсидии и (или) на увеличение размера субсидии следующие документы: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а) копии учредительных документов специализированной службы по вопросам похоронного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б) выписку из Единого государственного реестра юридических лиц, выданную не ранее чем за 30 календарных дней до предоставления документов, указанных в настоящем пункте;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в) справку налогового органа об отсутствии задолженности по налогам, сборам и иным обязательным платежам в бюджеты бюджетной системы Рос-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сийской</w:t>
      </w:r>
      <w:r>
        <w:rPr>
          <w:sz w:val="28"/>
          <w:szCs w:val="28"/>
        </w:rPr>
        <w:t xml:space="preserve"> Федерации, срок исполнения по которым наступил в соответствии с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законодательством Российской Федерации, выданную не ранее чем за 30 календарных дней до предоставления документов, указанных в настоящем пункте;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г) подписанное руководителем специализированной службы по вопросам похоронного дела - Получателем субсидии гарантийное обязательство о соблюдении требований, установленных п. 2.2 настоящего Порядка.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Получатель субсидии вправе представить по собственной инициативе документы, предусмотренные </w:t>
      </w:r>
      <w:r>
        <w:rPr>
          <w:sz w:val="28"/>
          <w:szCs w:val="28"/>
        </w:rPr>
        <w:t xml:space="preserve">пп</w:t>
      </w:r>
      <w:r>
        <w:rPr>
          <w:sz w:val="28"/>
          <w:szCs w:val="28"/>
        </w:rPr>
        <w:t xml:space="preserve">. «б» и «в» настоящего пункта. В случае непредставления Получателем указанных документов по собственной инициативе администрация Артемовского городского округа в течение трех рабочих дней со дня приема документов запрашивает соответствующую </w:t>
      </w:r>
      <w:r>
        <w:rPr>
          <w:sz w:val="28"/>
          <w:szCs w:val="28"/>
        </w:rPr>
        <w:t xml:space="preserve">информацию самостоятельно в порядке межведомственного информационного взаимодействия.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 xml:space="preserve">Уполномоченный орган в течение 10 дней с момента предоставления Получателем субсидии документов проводит проверку достоверности сведений и принимает решение о заключении либо отказе в заключении Соглашения.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 реорганизации Получателя субс</w:t>
      </w:r>
      <w:r>
        <w:rPr>
          <w:sz w:val="28"/>
          <w:szCs w:val="28"/>
        </w:rPr>
        <w:t xml:space="preserve">идии, в форме слияния, присоединения или преобразования,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 ликвидации получателя субсидии или прекращения деятельности получателя субсидии Соглашение расторгается в одностороннем порядке.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Порядок расчета предоставления субсидии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Расчет размера возмещения стоимости Услуг производится на основании отчетности, представленной специализированной службой по вопросам похоронного дела.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Требования к отчетности Получателя субсидии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субсидии специал</w:t>
      </w:r>
      <w:r>
        <w:rPr>
          <w:rFonts w:ascii="Times New Roman" w:hAnsi="Times New Roman" w:cs="Times New Roman"/>
          <w:sz w:val="28"/>
          <w:szCs w:val="28"/>
        </w:rPr>
        <w:t xml:space="preserve">изированная служба по вопросам похоронного дела </w:t>
      </w:r>
      <w:r>
        <w:rPr>
          <w:rFonts w:ascii="Times New Roman" w:hAnsi="Times New Roman" w:cs="Times New Roman"/>
          <w:sz w:val="28"/>
          <w:szCs w:val="28"/>
        </w:rPr>
        <w:t xml:space="preserve">в срок не позднее шести месяцев с даты погребения умерших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полномоченный орган, указанный в пункте 1.4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, единовременно следующие документы: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постановления администрации Артемовского городского округа о создании специализированной службы;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заявку Получателя на возмещение стоимости Услуг (приложение 1 к Порядку);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справку о смерти умершего по форме № 11, утвержденной приказом Минюста России от 01.10.2018 № 200 «Об утверждении форм справок и иных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0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документов, подтверждающих наличие или отсутствие фактов государственной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0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регистрации актов гражданского состояния, и Правил заполнения форм справок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0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иных документов, подтверждающих наличие или отсутствие фактов государственной регистрации актов гражданского состояния» (за исключением случая погребения ребенка, родившегося мертвым по истечении 154 дней беременности);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справку о рождении по форме № 3, утвержденной приказом Минюста России от 01.10.2018 № 200 «Об утверждении форм справок и иных документов, подтверждающих наличие или отсутствие фактов государственной регистрации актов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 (для случаев погребения ребенка, родившегося мертвым по истечении 154 дней беременности);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сведения, подтверждающие, что умершие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об оказанных услугах по погребению умерших, с указанием даты погребения (приложение 2 к Порядку);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счет-фактуру с указанием расходов, понесенных в связи с предоставлением Услуг;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счет на сумму оказанных Услуг;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справку налогового органа об отсутствии у специализированной службы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подписанное руководителем специализированной службы гарантийное обязательство, подтверждающее, что специализированная служба соответствует требованиям, установленным п. 2.2 настоящего Порядка.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Порядок предоставления субсидии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2.5.1. 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в течение двух рабочих дней проверяет до</w:t>
      </w:r>
      <w:r>
        <w:rPr>
          <w:rFonts w:ascii="Times New Roman" w:hAnsi="Times New Roman" w:cs="Times New Roman"/>
          <w:sz w:val="28"/>
          <w:szCs w:val="28"/>
        </w:rPr>
        <w:t xml:space="preserve">стоверность предоставленных специализированной службой данных и направляет в управление бухгалтерского учета и выплат администрации Артемовского городского округа заявку на перечисление из бюджета Артемовского городского округа субсидии специализированной </w:t>
      </w:r>
      <w:r>
        <w:rPr>
          <w:rFonts w:ascii="Times New Roman" w:hAnsi="Times New Roman" w:cs="Times New Roman"/>
          <w:sz w:val="28"/>
          <w:szCs w:val="28"/>
        </w:rPr>
        <w:t xml:space="preserve">службе по вопросам похоронного дела. К заявке прикладывается пакет документов, указанных в </w:t>
      </w:r>
      <w:r>
        <w:rPr>
          <w:rFonts w:ascii="Times New Roman" w:hAnsi="Times New Roman" w:cs="Times New Roman"/>
          <w:sz w:val="28"/>
          <w:szCs w:val="28"/>
        </w:rPr>
        <w:t xml:space="preserve">пп</w:t>
      </w:r>
      <w:r>
        <w:rPr>
          <w:rFonts w:ascii="Times New Roman" w:hAnsi="Times New Roman" w:cs="Times New Roman"/>
          <w:sz w:val="28"/>
          <w:szCs w:val="28"/>
        </w:rPr>
        <w:t xml:space="preserve">. 2.4.2 настоящего Порядка.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2.5.2. Управление бухгалтерского учета и вы</w:t>
      </w:r>
      <w:r>
        <w:rPr>
          <w:rFonts w:ascii="Times New Roman" w:hAnsi="Times New Roman" w:cs="Times New Roman"/>
          <w:sz w:val="28"/>
          <w:szCs w:val="28"/>
        </w:rPr>
        <w:t xml:space="preserve">плат администрации Артемовского городского округа в течение двух рабочих дней проверяет пакет документов, указанных в п. 2.5.1 и, в зависимости от результатов проверки, либо </w:t>
      </w:r>
      <w:r>
        <w:rPr>
          <w:rFonts w:ascii="Times New Roman" w:hAnsi="Times New Roman" w:cs="Times New Roman"/>
          <w:sz w:val="28"/>
          <w:szCs w:val="28"/>
        </w:rPr>
        <w:t xml:space="preserve">возвращает пакет </w:t>
      </w:r>
      <w:r>
        <w:rPr>
          <w:rFonts w:ascii="Times New Roman" w:hAnsi="Times New Roman" w:cs="Times New Roman"/>
          <w:sz w:val="28"/>
          <w:szCs w:val="28"/>
        </w:rPr>
        <w:t xml:space="preserve">документов в Уполномоченный орган с</w:t>
      </w:r>
      <w:r>
        <w:rPr>
          <w:rFonts w:ascii="Times New Roman" w:hAnsi="Times New Roman" w:cs="Times New Roman"/>
          <w:sz w:val="28"/>
          <w:szCs w:val="28"/>
        </w:rPr>
        <w:t xml:space="preserve"> указанием причин возврата, либо</w:t>
      </w:r>
      <w:r>
        <w:rPr>
          <w:rFonts w:ascii="Times New Roman" w:hAnsi="Times New Roman" w:cs="Times New Roman"/>
          <w:sz w:val="28"/>
          <w:szCs w:val="28"/>
        </w:rPr>
        <w:t xml:space="preserve"> готовит платежные документы </w:t>
      </w:r>
      <w:r>
        <w:rPr>
          <w:rFonts w:ascii="Times New Roman" w:hAnsi="Times New Roman" w:cs="Times New Roman"/>
          <w:sz w:val="28"/>
          <w:szCs w:val="28"/>
        </w:rPr>
        <w:t xml:space="preserve">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2.5.3. Пакет документов, являющихся основанием для платежа и прошедших </w:t>
      </w:r>
      <w:r>
        <w:rPr>
          <w:rFonts w:ascii="Times New Roman" w:hAnsi="Times New Roman" w:cs="Times New Roman"/>
          <w:sz w:val="28"/>
          <w:szCs w:val="28"/>
        </w:rPr>
        <w:t xml:space="preserve">проверку (о чем на них сделана соответствующая отметка управления бухгалтерского учета и выплат администрации Артемовского городского округа), хранится в управлении бухгалтерского учета и выплат администрации Артемовского городского округа в течение 5 лет.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2.5.4. Перечисление средств с лицевого счета администрации Артемовского городского округа на расчетный или корреспондентский счет Получателя субсидии, открытый в учреждения</w:t>
      </w:r>
      <w:r>
        <w:rPr>
          <w:rFonts w:ascii="Times New Roman" w:hAnsi="Times New Roman" w:cs="Times New Roman"/>
          <w:sz w:val="28"/>
          <w:szCs w:val="28"/>
        </w:rPr>
        <w:t xml:space="preserve">х Центрального банка Российской Федерации или иных кредитных организациях, осуществляется не позднее 10-го рабочего дня, следующего за днем принятия главным распорядителем бюджетных средств по результатам рассмотрения и проверке им документов, указанных в </w:t>
      </w:r>
      <w:r>
        <w:rPr>
          <w:rFonts w:ascii="Times New Roman" w:hAnsi="Times New Roman" w:cs="Times New Roman"/>
          <w:sz w:val="28"/>
          <w:szCs w:val="28"/>
        </w:rPr>
        <w:t xml:space="preserve">пп</w:t>
      </w:r>
      <w:r>
        <w:rPr>
          <w:rFonts w:ascii="Times New Roman" w:hAnsi="Times New Roman" w:cs="Times New Roman"/>
          <w:sz w:val="28"/>
          <w:szCs w:val="28"/>
        </w:rPr>
        <w:t xml:space="preserve">. 2.4.2 настоящего Порядка.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срок рассмотрения документов Получателя субсидии не может превышать 14 рабочих дней.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2.5.5. Средства, перечисленные Получателю субсидии, должны быть направлены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возмещение затрат, связанных с оказанием Услуг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погребению умерших, не подлежащих обязательному социальному страхованию 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в соответствии с постановлением администрации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об утверждении стоимости услуг по погребению, оказываемых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на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безвозмездной осн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ве в соответствии с гарантированным перечнем услуг по погребению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на одного умершего.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2.6. Основанием для отказа Получателю субсидии является: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Получателя требованиям, определенным п. 2.2 </w:t>
      </w:r>
      <w:r>
        <w:rPr>
          <w:sz w:val="28"/>
          <w:szCs w:val="28"/>
        </w:rPr>
        <w:t xml:space="preserve">настояще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Порядка;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непредоставление</w:t>
      </w:r>
      <w:r>
        <w:rPr>
          <w:sz w:val="28"/>
          <w:szCs w:val="28"/>
        </w:rPr>
        <w:t xml:space="preserve"> (предоставление не в полном объеме) документов на получение субсидии по возмещению стоимости Услуг;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выявление фактов недостоверности представленной Получателем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2.7. Порядок возврата субсидии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случае, если Получатель не выполнил условия, предусмотренные разделом 2 настоящего Порядка, необоснованно перечисленные средства добровольно возвращаются Получателем субсидии в местный бюджет в течение 30 рабочих дней со дня </w:t>
      </w:r>
      <w:r>
        <w:rPr>
          <w:sz w:val="28"/>
          <w:szCs w:val="28"/>
        </w:rPr>
        <w:t xml:space="preserve">получения требования администрации Артемовского городского округа о необходимости возврата денежных средств. При отказе от добровольного возврата указанных средств они востребуются в судебном порядке в соответствии с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 xml:space="preserve">бухгалтерского учета и выплат администрации Артемовского городского округа приостанавливает перечисление средств Получателям субсидии до выяснения причин задержки добровольного возврата, полного погашения задолженности или согласования сроков ее погашения.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Решение о приостановлении субсидии доводится до сведения Получателя в письменной форме в течение трех рабочих дней после его принятия с указанием соответствующих оснований.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Проведение мониторинга достижения результатов предоставления субсидии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 В соответствии с действующим </w:t>
      </w:r>
      <w:r>
        <w:rPr>
          <w:sz w:val="28"/>
          <w:szCs w:val="28"/>
        </w:rPr>
        <w:t xml:space="preserve">законодательством  Российской</w:t>
      </w:r>
      <w:r>
        <w:rPr>
          <w:sz w:val="28"/>
          <w:szCs w:val="28"/>
        </w:rPr>
        <w:t xml:space="preserve"> Федерации Получатель субсидии ежеквартально по состоянию на первое число месяца, следующего за отчетным периодом, предоставляет в уполномоченный орган отчет о реализации плана мероприятий по достижению резу</w:t>
      </w:r>
      <w:r>
        <w:rPr>
          <w:sz w:val="28"/>
          <w:szCs w:val="28"/>
        </w:rPr>
        <w:t xml:space="preserve">льтатов предоставления субсидии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3.2. Отчет предоставляется с нарастающим итогом с начала года по </w:t>
      </w:r>
      <w:r>
        <w:rPr>
          <w:sz w:val="28"/>
          <w:szCs w:val="28"/>
        </w:rPr>
        <w:t xml:space="preserve">состоянию на 1-е число квартала, следующего за отчетным.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3.3. Информация о субсидиях размещается на едином портале бюджетной системы Российской Федерации в информационно-</w:t>
      </w:r>
      <w:r>
        <w:rPr>
          <w:sz w:val="28"/>
          <w:szCs w:val="28"/>
        </w:rPr>
        <w:t xml:space="preserve">телекоммуниционной</w:t>
      </w:r>
      <w:r>
        <w:rPr>
          <w:sz w:val="28"/>
          <w:szCs w:val="28"/>
        </w:rPr>
        <w:t xml:space="preserve"> системе Интернет в порядке, установленном Министерством финансов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3.4. Мониторинг достижения результатов предоставления субсидии осуществляется уполномоченным органом, указанным в пункте 1.4 Порядка.</w:t>
      </w:r>
      <w:bookmarkStart w:id="0" w:name="_GoBack"/>
      <w:r>
        <w:rPr>
          <w:highlight w:val="white"/>
        </w:rPr>
      </w:r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ind w:firstLine="709"/>
        <w:jc w:val="both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Контроль за соблюдением условий, целей и порядка предоставления субсидии из средств местного бюджета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02"/>
        <w:ind w:firstLine="709"/>
        <w:jc w:val="both"/>
        <w:widowControl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4.1. Уполномоченный орган осуществляет проверку соблюдения ООО «Специализированная служба по вопросам похоронного дела «Ритуал-Сервис» условий, целей и порядка предоставления субсидий, в том числе в части достижения результатов предоставления субсидий.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Органы муниципального финансового контроля осуществляют проверку в соответствии со статьями 268.1 и 269.2 Бюджетного кодекса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Меры ответственности за нарушение условий, целей и порядка предоставления субсидии, устано</w:t>
      </w:r>
      <w:r>
        <w:rPr>
          <w:rFonts w:ascii="Times New Roman" w:hAnsi="Times New Roman" w:cs="Times New Roman"/>
          <w:sz w:val="28"/>
          <w:szCs w:val="28"/>
        </w:rPr>
        <w:t xml:space="preserve">вленных настоящим Порядком, выявленных в том числе по фактам проверок, проведенных главным распорядителем как получателем бюджетных средств и органом муниципального финансового контроля, предусматривают возврат средств субсидий в бюджет </w:t>
      </w:r>
      <w:r>
        <w:rPr>
          <w:rFonts w:ascii="Times New Roman" w:hAnsi="Times New Roman" w:cs="Times New Roman"/>
          <w:sz w:val="28"/>
          <w:szCs w:val="28"/>
        </w:rPr>
        <w:t xml:space="preserve">Артемовского городского округа в сроки, определенные п. 2.7 настоящего Порядка.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680" w:left="1701" w:header="709" w:footer="54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12</w:t>
    </w:r>
    <w:r>
      <w:fldChar w:fldCharType="end"/>
    </w:r>
    <w:r/>
  </w:p>
  <w:p>
    <w:pPr>
      <w:pStyle w:val="75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  <w:rPr>
        <w:rStyle w:val="901"/>
      </w:rPr>
      <w:framePr w:wrap="around" w:vAnchor="text" w:hAnchor="margin" w:xAlign="center" w:y="1"/>
    </w:pPr>
    <w:r>
      <w:rPr>
        <w:rStyle w:val="901"/>
      </w:rPr>
      <w:fldChar w:fldCharType="begin"/>
    </w:r>
    <w:r>
      <w:rPr>
        <w:rStyle w:val="901"/>
      </w:rPr>
      <w:instrText xml:space="preserve">PAGE  </w:instrText>
    </w:r>
    <w:r>
      <w:rPr>
        <w:rStyle w:val="901"/>
      </w:rPr>
      <w:fldChar w:fldCharType="end"/>
    </w:r>
    <w:r>
      <w:rPr>
        <w:rStyle w:val="901"/>
      </w:rPr>
    </w:r>
    <w:r>
      <w:rPr>
        <w:rStyle w:val="901"/>
      </w:rPr>
    </w:r>
  </w:p>
  <w:p>
    <w:pPr>
      <w:pStyle w:val="75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926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18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91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36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2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28" w:hanging="180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0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4">
    <w:name w:val="Heading 1 Char"/>
    <w:basedOn w:val="729"/>
    <w:link w:val="720"/>
    <w:uiPriority w:val="9"/>
    <w:rPr>
      <w:rFonts w:ascii="Arial" w:hAnsi="Arial" w:eastAsia="Arial" w:cs="Arial"/>
      <w:sz w:val="40"/>
      <w:szCs w:val="40"/>
    </w:rPr>
  </w:style>
  <w:style w:type="character" w:styleId="705">
    <w:name w:val="Heading 2 Char"/>
    <w:basedOn w:val="729"/>
    <w:link w:val="721"/>
    <w:uiPriority w:val="9"/>
    <w:rPr>
      <w:rFonts w:ascii="Arial" w:hAnsi="Arial" w:eastAsia="Arial" w:cs="Arial"/>
      <w:sz w:val="34"/>
    </w:rPr>
  </w:style>
  <w:style w:type="character" w:styleId="706">
    <w:name w:val="Heading 3 Char"/>
    <w:basedOn w:val="729"/>
    <w:link w:val="722"/>
    <w:uiPriority w:val="9"/>
    <w:rPr>
      <w:rFonts w:ascii="Arial" w:hAnsi="Arial" w:eastAsia="Arial" w:cs="Arial"/>
      <w:sz w:val="30"/>
      <w:szCs w:val="30"/>
    </w:rPr>
  </w:style>
  <w:style w:type="character" w:styleId="707">
    <w:name w:val="Heading 4 Char"/>
    <w:basedOn w:val="729"/>
    <w:link w:val="723"/>
    <w:uiPriority w:val="9"/>
    <w:rPr>
      <w:rFonts w:ascii="Arial" w:hAnsi="Arial" w:eastAsia="Arial" w:cs="Arial"/>
      <w:b/>
      <w:bCs/>
      <w:sz w:val="26"/>
      <w:szCs w:val="26"/>
    </w:rPr>
  </w:style>
  <w:style w:type="character" w:styleId="708">
    <w:name w:val="Heading 5 Char"/>
    <w:basedOn w:val="729"/>
    <w:link w:val="724"/>
    <w:uiPriority w:val="9"/>
    <w:rPr>
      <w:rFonts w:ascii="Arial" w:hAnsi="Arial" w:eastAsia="Arial" w:cs="Arial"/>
      <w:b/>
      <w:bCs/>
      <w:sz w:val="24"/>
      <w:szCs w:val="24"/>
    </w:rPr>
  </w:style>
  <w:style w:type="character" w:styleId="709">
    <w:name w:val="Heading 6 Char"/>
    <w:basedOn w:val="729"/>
    <w:link w:val="725"/>
    <w:uiPriority w:val="9"/>
    <w:rPr>
      <w:rFonts w:ascii="Arial" w:hAnsi="Arial" w:eastAsia="Arial" w:cs="Arial"/>
      <w:b/>
      <w:bCs/>
      <w:sz w:val="22"/>
      <w:szCs w:val="22"/>
    </w:rPr>
  </w:style>
  <w:style w:type="character" w:styleId="710">
    <w:name w:val="Heading 7 Char"/>
    <w:basedOn w:val="729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8 Char"/>
    <w:basedOn w:val="729"/>
    <w:link w:val="727"/>
    <w:uiPriority w:val="9"/>
    <w:rPr>
      <w:rFonts w:ascii="Arial" w:hAnsi="Arial" w:eastAsia="Arial" w:cs="Arial"/>
      <w:i/>
      <w:iCs/>
      <w:sz w:val="22"/>
      <w:szCs w:val="22"/>
    </w:rPr>
  </w:style>
  <w:style w:type="character" w:styleId="712">
    <w:name w:val="Heading 9 Char"/>
    <w:basedOn w:val="729"/>
    <w:link w:val="728"/>
    <w:uiPriority w:val="9"/>
    <w:rPr>
      <w:rFonts w:ascii="Arial" w:hAnsi="Arial" w:eastAsia="Arial" w:cs="Arial"/>
      <w:i/>
      <w:iCs/>
      <w:sz w:val="21"/>
      <w:szCs w:val="21"/>
    </w:rPr>
  </w:style>
  <w:style w:type="character" w:styleId="713">
    <w:name w:val="Title Char"/>
    <w:basedOn w:val="729"/>
    <w:link w:val="743"/>
    <w:uiPriority w:val="10"/>
    <w:rPr>
      <w:sz w:val="48"/>
      <w:szCs w:val="48"/>
    </w:rPr>
  </w:style>
  <w:style w:type="character" w:styleId="714">
    <w:name w:val="Subtitle Char"/>
    <w:basedOn w:val="729"/>
    <w:link w:val="745"/>
    <w:uiPriority w:val="11"/>
    <w:rPr>
      <w:sz w:val="24"/>
      <w:szCs w:val="24"/>
    </w:rPr>
  </w:style>
  <w:style w:type="character" w:styleId="715">
    <w:name w:val="Quote Char"/>
    <w:link w:val="747"/>
    <w:uiPriority w:val="29"/>
    <w:rPr>
      <w:i/>
    </w:rPr>
  </w:style>
  <w:style w:type="character" w:styleId="716">
    <w:name w:val="Intense Quote Char"/>
    <w:link w:val="749"/>
    <w:uiPriority w:val="30"/>
    <w:rPr>
      <w:i/>
    </w:rPr>
  </w:style>
  <w:style w:type="character" w:styleId="717">
    <w:name w:val="Footnote Text Char"/>
    <w:link w:val="884"/>
    <w:uiPriority w:val="99"/>
    <w:rPr>
      <w:sz w:val="18"/>
    </w:rPr>
  </w:style>
  <w:style w:type="character" w:styleId="718">
    <w:name w:val="Endnote Text Char"/>
    <w:link w:val="887"/>
    <w:uiPriority w:val="99"/>
    <w:rPr>
      <w:sz w:val="20"/>
    </w:rPr>
  </w:style>
  <w:style w:type="paragraph" w:styleId="719" w:default="1">
    <w:name w:val="Normal"/>
    <w:qFormat/>
    <w:rPr>
      <w:sz w:val="24"/>
      <w:szCs w:val="24"/>
    </w:rPr>
  </w:style>
  <w:style w:type="paragraph" w:styleId="720">
    <w:name w:val="Heading 1"/>
    <w:basedOn w:val="719"/>
    <w:next w:val="719"/>
    <w:link w:val="73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1">
    <w:name w:val="Heading 2"/>
    <w:basedOn w:val="719"/>
    <w:next w:val="719"/>
    <w:link w:val="733"/>
    <w:qFormat/>
    <w:pPr>
      <w:jc w:val="center"/>
      <w:keepNext/>
      <w:outlineLvl w:val="1"/>
    </w:pPr>
    <w:rPr>
      <w:sz w:val="36"/>
      <w:szCs w:val="20"/>
    </w:rPr>
  </w:style>
  <w:style w:type="paragraph" w:styleId="722">
    <w:name w:val="Heading 3"/>
    <w:basedOn w:val="719"/>
    <w:next w:val="719"/>
    <w:link w:val="734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paragraph" w:styleId="723">
    <w:name w:val="Heading 4"/>
    <w:basedOn w:val="719"/>
    <w:next w:val="719"/>
    <w:link w:val="73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719"/>
    <w:next w:val="719"/>
    <w:link w:val="73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25">
    <w:name w:val="Heading 6"/>
    <w:basedOn w:val="719"/>
    <w:next w:val="719"/>
    <w:link w:val="7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719"/>
    <w:next w:val="719"/>
    <w:link w:val="73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7">
    <w:name w:val="Heading 8"/>
    <w:basedOn w:val="719"/>
    <w:next w:val="719"/>
    <w:link w:val="73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719"/>
    <w:next w:val="719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 w:default="1">
    <w:name w:val="Default Paragraph Font"/>
    <w:uiPriority w:val="1"/>
    <w:semiHidden/>
    <w:unhideWhenUsed/>
  </w:style>
  <w:style w:type="table" w:styleId="7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1" w:default="1">
    <w:name w:val="No List"/>
    <w:uiPriority w:val="99"/>
    <w:semiHidden/>
    <w:unhideWhenUsed/>
  </w:style>
  <w:style w:type="character" w:styleId="732" w:customStyle="1">
    <w:name w:val="Заголовок 1 Знак"/>
    <w:link w:val="720"/>
    <w:uiPriority w:val="9"/>
    <w:rPr>
      <w:rFonts w:ascii="Arial" w:hAnsi="Arial" w:eastAsia="Arial" w:cs="Arial"/>
      <w:sz w:val="40"/>
      <w:szCs w:val="40"/>
    </w:rPr>
  </w:style>
  <w:style w:type="character" w:styleId="733" w:customStyle="1">
    <w:name w:val="Заголовок 2 Знак"/>
    <w:link w:val="721"/>
    <w:uiPriority w:val="9"/>
    <w:rPr>
      <w:rFonts w:ascii="Arial" w:hAnsi="Arial" w:eastAsia="Arial" w:cs="Arial"/>
      <w:sz w:val="34"/>
    </w:rPr>
  </w:style>
  <w:style w:type="character" w:styleId="734" w:customStyle="1">
    <w:name w:val="Заголовок 3 Знак"/>
    <w:link w:val="722"/>
    <w:uiPriority w:val="9"/>
    <w:rPr>
      <w:rFonts w:ascii="Arial" w:hAnsi="Arial" w:eastAsia="Arial" w:cs="Arial"/>
      <w:sz w:val="30"/>
      <w:szCs w:val="30"/>
    </w:rPr>
  </w:style>
  <w:style w:type="character" w:styleId="735" w:customStyle="1">
    <w:name w:val="Заголовок 4 Знак"/>
    <w:link w:val="723"/>
    <w:uiPriority w:val="9"/>
    <w:rPr>
      <w:rFonts w:ascii="Arial" w:hAnsi="Arial" w:eastAsia="Arial" w:cs="Arial"/>
      <w:b/>
      <w:bCs/>
      <w:sz w:val="26"/>
      <w:szCs w:val="26"/>
    </w:rPr>
  </w:style>
  <w:style w:type="character" w:styleId="736" w:customStyle="1">
    <w:name w:val="Заголовок 5 Знак"/>
    <w:link w:val="724"/>
    <w:uiPriority w:val="9"/>
    <w:rPr>
      <w:rFonts w:ascii="Arial" w:hAnsi="Arial" w:eastAsia="Arial" w:cs="Arial"/>
      <w:b/>
      <w:bCs/>
      <w:sz w:val="24"/>
      <w:szCs w:val="24"/>
    </w:rPr>
  </w:style>
  <w:style w:type="character" w:styleId="737" w:customStyle="1">
    <w:name w:val="Заголовок 6 Знак"/>
    <w:link w:val="725"/>
    <w:uiPriority w:val="9"/>
    <w:rPr>
      <w:rFonts w:ascii="Arial" w:hAnsi="Arial" w:eastAsia="Arial" w:cs="Arial"/>
      <w:b/>
      <w:bCs/>
      <w:sz w:val="22"/>
      <w:szCs w:val="22"/>
    </w:rPr>
  </w:style>
  <w:style w:type="character" w:styleId="738" w:customStyle="1">
    <w:name w:val="Заголовок 7 Знак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9" w:customStyle="1">
    <w:name w:val="Заголовок 8 Знак"/>
    <w:link w:val="727"/>
    <w:uiPriority w:val="9"/>
    <w:rPr>
      <w:rFonts w:ascii="Arial" w:hAnsi="Arial" w:eastAsia="Arial" w:cs="Arial"/>
      <w:i/>
      <w:iCs/>
      <w:sz w:val="22"/>
      <w:szCs w:val="22"/>
    </w:rPr>
  </w:style>
  <w:style w:type="character" w:styleId="740" w:customStyle="1">
    <w:name w:val="Заголовок 9 Знак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List Paragraph"/>
    <w:basedOn w:val="719"/>
    <w:uiPriority w:val="34"/>
    <w:qFormat/>
    <w:pPr>
      <w:contextualSpacing/>
      <w:ind w:left="720"/>
    </w:pPr>
  </w:style>
  <w:style w:type="paragraph" w:styleId="742">
    <w:name w:val="No Spacing"/>
    <w:uiPriority w:val="1"/>
    <w:qFormat/>
    <w:rPr>
      <w:lang w:eastAsia="zh-CN"/>
    </w:rPr>
  </w:style>
  <w:style w:type="paragraph" w:styleId="743">
    <w:name w:val="Title"/>
    <w:basedOn w:val="719"/>
    <w:next w:val="719"/>
    <w:link w:val="74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4" w:customStyle="1">
    <w:name w:val="Заголовок Знак"/>
    <w:link w:val="743"/>
    <w:uiPriority w:val="10"/>
    <w:rPr>
      <w:sz w:val="48"/>
      <w:szCs w:val="48"/>
    </w:rPr>
  </w:style>
  <w:style w:type="paragraph" w:styleId="745">
    <w:name w:val="Subtitle"/>
    <w:basedOn w:val="719"/>
    <w:next w:val="719"/>
    <w:link w:val="746"/>
    <w:uiPriority w:val="11"/>
    <w:qFormat/>
    <w:pPr>
      <w:spacing w:before="200" w:after="200"/>
    </w:pPr>
  </w:style>
  <w:style w:type="character" w:styleId="746" w:customStyle="1">
    <w:name w:val="Подзаголовок Знак"/>
    <w:link w:val="745"/>
    <w:uiPriority w:val="11"/>
    <w:rPr>
      <w:sz w:val="24"/>
      <w:szCs w:val="24"/>
    </w:rPr>
  </w:style>
  <w:style w:type="paragraph" w:styleId="747">
    <w:name w:val="Quote"/>
    <w:basedOn w:val="719"/>
    <w:next w:val="719"/>
    <w:link w:val="748"/>
    <w:uiPriority w:val="29"/>
    <w:qFormat/>
    <w:pPr>
      <w:ind w:left="720" w:right="720"/>
    </w:pPr>
    <w:rPr>
      <w:i/>
    </w:rPr>
  </w:style>
  <w:style w:type="character" w:styleId="748" w:customStyle="1">
    <w:name w:val="Цитата 2 Знак"/>
    <w:link w:val="747"/>
    <w:uiPriority w:val="29"/>
    <w:rPr>
      <w:i/>
    </w:rPr>
  </w:style>
  <w:style w:type="paragraph" w:styleId="749">
    <w:name w:val="Intense Quote"/>
    <w:basedOn w:val="719"/>
    <w:next w:val="719"/>
    <w:link w:val="75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0" w:customStyle="1">
    <w:name w:val="Выделенная цитата Знак"/>
    <w:link w:val="749"/>
    <w:uiPriority w:val="30"/>
    <w:rPr>
      <w:i/>
    </w:rPr>
  </w:style>
  <w:style w:type="paragraph" w:styleId="751">
    <w:name w:val="Header"/>
    <w:basedOn w:val="719"/>
    <w:link w:val="905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52" w:customStyle="1">
    <w:name w:val="Header Char"/>
    <w:uiPriority w:val="99"/>
  </w:style>
  <w:style w:type="paragraph" w:styleId="753">
    <w:name w:val="Footer"/>
    <w:basedOn w:val="719"/>
    <w:link w:val="904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54" w:customStyle="1">
    <w:name w:val="Footer Char"/>
    <w:uiPriority w:val="99"/>
  </w:style>
  <w:style w:type="paragraph" w:styleId="755">
    <w:name w:val="Caption"/>
    <w:basedOn w:val="719"/>
    <w:next w:val="71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56" w:customStyle="1">
    <w:name w:val="Caption Char"/>
    <w:uiPriority w:val="99"/>
  </w:style>
  <w:style w:type="table" w:styleId="757">
    <w:name w:val="Table Grid"/>
    <w:basedOn w:val="730"/>
    <w:tblPr/>
  </w:style>
  <w:style w:type="table" w:styleId="758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2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3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4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99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48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83">
    <w:name w:val="Hyperlink"/>
    <w:uiPriority w:val="99"/>
    <w:unhideWhenUsed/>
    <w:rPr>
      <w:color w:val="0000ff"/>
      <w:u w:val="single"/>
    </w:rPr>
  </w:style>
  <w:style w:type="paragraph" w:styleId="884">
    <w:name w:val="footnote text"/>
    <w:basedOn w:val="719"/>
    <w:link w:val="885"/>
    <w:uiPriority w:val="99"/>
    <w:semiHidden/>
    <w:unhideWhenUsed/>
    <w:pPr>
      <w:spacing w:after="40"/>
    </w:pPr>
    <w:rPr>
      <w:sz w:val="18"/>
    </w:rPr>
  </w:style>
  <w:style w:type="character" w:styleId="885" w:customStyle="1">
    <w:name w:val="Текст сноски Знак"/>
    <w:link w:val="884"/>
    <w:uiPriority w:val="99"/>
    <w:rPr>
      <w:sz w:val="18"/>
    </w:rPr>
  </w:style>
  <w:style w:type="character" w:styleId="886">
    <w:name w:val="footnote reference"/>
    <w:uiPriority w:val="99"/>
    <w:unhideWhenUsed/>
    <w:rPr>
      <w:vertAlign w:val="superscript"/>
    </w:rPr>
  </w:style>
  <w:style w:type="paragraph" w:styleId="887">
    <w:name w:val="endnote text"/>
    <w:basedOn w:val="719"/>
    <w:link w:val="888"/>
    <w:uiPriority w:val="99"/>
    <w:semiHidden/>
    <w:unhideWhenUsed/>
    <w:rPr>
      <w:sz w:val="20"/>
    </w:rPr>
  </w:style>
  <w:style w:type="character" w:styleId="888" w:customStyle="1">
    <w:name w:val="Текст концевой сноски Знак"/>
    <w:link w:val="887"/>
    <w:uiPriority w:val="99"/>
    <w:rPr>
      <w:sz w:val="20"/>
    </w:rPr>
  </w:style>
  <w:style w:type="character" w:styleId="889">
    <w:name w:val="endnote reference"/>
    <w:uiPriority w:val="99"/>
    <w:semiHidden/>
    <w:unhideWhenUsed/>
    <w:rPr>
      <w:vertAlign w:val="superscript"/>
    </w:rPr>
  </w:style>
  <w:style w:type="paragraph" w:styleId="890">
    <w:name w:val="toc 1"/>
    <w:basedOn w:val="719"/>
    <w:next w:val="719"/>
    <w:uiPriority w:val="39"/>
    <w:unhideWhenUsed/>
    <w:pPr>
      <w:spacing w:after="57"/>
    </w:pPr>
  </w:style>
  <w:style w:type="paragraph" w:styleId="891">
    <w:name w:val="toc 2"/>
    <w:basedOn w:val="719"/>
    <w:next w:val="719"/>
    <w:uiPriority w:val="39"/>
    <w:unhideWhenUsed/>
    <w:pPr>
      <w:ind w:left="283"/>
      <w:spacing w:after="57"/>
    </w:pPr>
  </w:style>
  <w:style w:type="paragraph" w:styleId="892">
    <w:name w:val="toc 3"/>
    <w:basedOn w:val="719"/>
    <w:next w:val="719"/>
    <w:uiPriority w:val="39"/>
    <w:unhideWhenUsed/>
    <w:pPr>
      <w:ind w:left="567"/>
      <w:spacing w:after="57"/>
    </w:pPr>
  </w:style>
  <w:style w:type="paragraph" w:styleId="893">
    <w:name w:val="toc 4"/>
    <w:basedOn w:val="719"/>
    <w:next w:val="719"/>
    <w:uiPriority w:val="39"/>
    <w:unhideWhenUsed/>
    <w:pPr>
      <w:ind w:left="850"/>
      <w:spacing w:after="57"/>
    </w:pPr>
  </w:style>
  <w:style w:type="paragraph" w:styleId="894">
    <w:name w:val="toc 5"/>
    <w:basedOn w:val="719"/>
    <w:next w:val="719"/>
    <w:uiPriority w:val="39"/>
    <w:unhideWhenUsed/>
    <w:pPr>
      <w:ind w:left="1134"/>
      <w:spacing w:after="57"/>
    </w:pPr>
  </w:style>
  <w:style w:type="paragraph" w:styleId="895">
    <w:name w:val="toc 6"/>
    <w:basedOn w:val="719"/>
    <w:next w:val="719"/>
    <w:uiPriority w:val="39"/>
    <w:unhideWhenUsed/>
    <w:pPr>
      <w:ind w:left="1417"/>
      <w:spacing w:after="57"/>
    </w:pPr>
  </w:style>
  <w:style w:type="paragraph" w:styleId="896">
    <w:name w:val="toc 7"/>
    <w:basedOn w:val="719"/>
    <w:next w:val="719"/>
    <w:uiPriority w:val="39"/>
    <w:unhideWhenUsed/>
    <w:pPr>
      <w:ind w:left="1701"/>
      <w:spacing w:after="57"/>
    </w:pPr>
  </w:style>
  <w:style w:type="paragraph" w:styleId="897">
    <w:name w:val="toc 8"/>
    <w:basedOn w:val="719"/>
    <w:next w:val="719"/>
    <w:uiPriority w:val="39"/>
    <w:unhideWhenUsed/>
    <w:pPr>
      <w:ind w:left="1984"/>
      <w:spacing w:after="57"/>
    </w:pPr>
  </w:style>
  <w:style w:type="paragraph" w:styleId="898">
    <w:name w:val="toc 9"/>
    <w:basedOn w:val="719"/>
    <w:next w:val="719"/>
    <w:uiPriority w:val="39"/>
    <w:unhideWhenUsed/>
    <w:pPr>
      <w:ind w:left="2268"/>
      <w:spacing w:after="57"/>
    </w:pPr>
  </w:style>
  <w:style w:type="paragraph" w:styleId="899">
    <w:name w:val="TOC Heading"/>
    <w:uiPriority w:val="39"/>
    <w:unhideWhenUsed/>
    <w:rPr>
      <w:lang w:eastAsia="zh-CN"/>
    </w:rPr>
  </w:style>
  <w:style w:type="paragraph" w:styleId="900">
    <w:name w:val="table of figures"/>
    <w:basedOn w:val="719"/>
    <w:next w:val="719"/>
    <w:uiPriority w:val="99"/>
    <w:unhideWhenUsed/>
  </w:style>
  <w:style w:type="character" w:styleId="901">
    <w:name w:val="page number"/>
    <w:basedOn w:val="729"/>
  </w:style>
  <w:style w:type="paragraph" w:styleId="902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03" w:customStyle="1">
    <w:name w:val="ConsPlusCell"/>
    <w:uiPriority w:val="99"/>
    <w:rPr>
      <w:rFonts w:ascii="Arial" w:hAnsi="Arial" w:cs="Arial"/>
    </w:rPr>
  </w:style>
  <w:style w:type="character" w:styleId="904" w:customStyle="1">
    <w:name w:val="Нижний колонтитул Знак"/>
    <w:link w:val="753"/>
    <w:uiPriority w:val="99"/>
    <w:rPr>
      <w:sz w:val="24"/>
      <w:szCs w:val="24"/>
    </w:rPr>
  </w:style>
  <w:style w:type="character" w:styleId="905" w:customStyle="1">
    <w:name w:val="Верхний колонтитул Знак"/>
    <w:link w:val="751"/>
    <w:uiPriority w:val="99"/>
    <w:rPr>
      <w:sz w:val="24"/>
      <w:szCs w:val="24"/>
    </w:rPr>
  </w:style>
  <w:style w:type="paragraph" w:styleId="906">
    <w:name w:val="Balloon Text"/>
    <w:basedOn w:val="71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UPRAVDELAMI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УЖОБ</dc:creator>
  <cp:keywords/>
  <dc:description/>
  <cp:revision>13</cp:revision>
  <dcterms:created xsi:type="dcterms:W3CDTF">2008-02-27T06:45:00Z</dcterms:created>
  <dcterms:modified xsi:type="dcterms:W3CDTF">2025-03-27T23:13:51Z</dcterms:modified>
  <cp:version>983040</cp:version>
</cp:coreProperties>
</file>