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6663"/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2808605</wp:posOffset>
                </wp:positionH>
                <wp:positionV relativeFrom="page">
                  <wp:posOffset>373380</wp:posOffset>
                </wp:positionV>
                <wp:extent cx="594995" cy="73787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1.15pt;mso-position-horizontal:absolute;mso-position-vertical-relative:page;margin-top:29.40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870"/>
        <w:ind w:left="6663"/>
        <w:jc w:val="both"/>
      </w:pPr>
      <w:r/>
      <w:r/>
    </w:p>
    <w:p>
      <w:pPr>
        <w:pStyle w:val="871"/>
        <w:rPr>
          <w:b/>
          <w:bCs/>
          <w:spacing w:val="20"/>
          <w:sz w:val="16"/>
          <w:szCs w:val="16"/>
        </w:rPr>
      </w:pPr>
      <w:r>
        <w:rPr>
          <w:b/>
          <w:bCs/>
          <w:spacing w:val="20"/>
          <w:sz w:val="16"/>
          <w:szCs w:val="16"/>
        </w:rPr>
      </w:r>
      <w:r>
        <w:rPr>
          <w:b/>
          <w:bCs/>
          <w:spacing w:val="20"/>
          <w:sz w:val="16"/>
          <w:szCs w:val="16"/>
        </w:rPr>
      </w:r>
      <w:r>
        <w:rPr>
          <w:b/>
          <w:bCs/>
          <w:spacing w:val="20"/>
          <w:sz w:val="16"/>
          <w:szCs w:val="16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</w:t>
      </w:r>
      <w:r>
        <w:rPr>
          <w:b/>
          <w:bCs/>
          <w:spacing w:val="26"/>
          <w:sz w:val="28"/>
          <w:szCs w:val="28"/>
        </w:rPr>
        <w:t xml:space="preserve">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contextualSpacing/>
        <w:jc w:val="left"/>
        <w:widowControl w:val="off"/>
        <w:rPr>
          <w:spacing w:val="40"/>
          <w:sz w:val="28"/>
          <w:szCs w:val="28"/>
        </w:rPr>
      </w:pPr>
      <w:r>
        <w:rPr>
          <w:sz w:val="28"/>
          <w:szCs w:val="28"/>
        </w:rPr>
      </w:r>
      <w:r>
        <w:rPr>
          <w:spacing w:val="40"/>
          <w:sz w:val="28"/>
          <w:szCs w:val="28"/>
        </w:rPr>
        <w:t xml:space="preserve">.........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t xml:space="preserve">г.  А р т е м</w:t>
      </w:r>
      <w:r>
        <w:rPr>
          <w:spacing w:val="40"/>
          <w:sz w:val="28"/>
          <w:szCs w:val="28"/>
        </w:rPr>
        <w:t xml:space="preserve"> </w:t>
        <w:tab/>
        <w:t xml:space="preserve">         </w:t>
      </w:r>
      <w:r>
        <w:rPr>
          <w:spacing w:val="40"/>
          <w:sz w:val="28"/>
          <w:szCs w:val="28"/>
        </w:rPr>
        <w:tab/>
        <w:tab/>
      </w:r>
      <w:r>
        <w:rPr>
          <w:spacing w:val="40"/>
          <w:sz w:val="28"/>
          <w:szCs w:val="28"/>
        </w:rPr>
        <w:t xml:space="preserve">№ .........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spacing w:line="480" w:lineRule="auto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jc w:val="both"/>
        <w:rPr>
          <w:spacing w:val="40"/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тарифов на ритуальные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 и предметы</w:t>
      </w:r>
      <w:r>
        <w:rPr>
          <w:sz w:val="28"/>
          <w:szCs w:val="28"/>
        </w:rPr>
        <w:t xml:space="preserve"> ритуала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предоставляемы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сверх гарантированного перечня услуг по погребению,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оказываемых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автономным учреждением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«Ритуал-Сервис», за счет средств супруга, близких родственников, иных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родственников, законного представителя умершего или иного лица, взявшего на себя обязанность осуществлять погребение умершего</w:t>
      </w:r>
      <w:r>
        <w:rPr>
          <w:sz w:val="28"/>
          <w:szCs w:val="28"/>
        </w:rPr>
        <w:t xml:space="preserve">,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ind w:firstLine="540"/>
        <w:jc w:val="both"/>
        <w:spacing w:line="48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Руковод</w:t>
      </w:r>
      <w:r>
        <w:rPr>
          <w:sz w:val="28"/>
          <w:szCs w:val="28"/>
        </w:rPr>
        <w:t xml:space="preserve">ствуясь федеральными законами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12.01.1996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8-ФЗ «О погребении и </w:t>
      </w:r>
      <w:r>
        <w:rPr>
          <w:sz w:val="28"/>
          <w:szCs w:val="28"/>
        </w:rPr>
        <w:t xml:space="preserve">похоронном деле», от 06.10.2003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При</w:t>
      </w:r>
      <w:r>
        <w:rPr>
          <w:sz w:val="28"/>
          <w:szCs w:val="28"/>
        </w:rPr>
        <w:t xml:space="preserve">морского края от 23.12.2005 № 33</w:t>
      </w:r>
      <w:r>
        <w:rPr>
          <w:sz w:val="28"/>
          <w:szCs w:val="28"/>
        </w:rPr>
        <w:t xml:space="preserve">2-КЗ «О погребении и похоронном деле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Приморском крае»,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шением Думы Артемовского городского округа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 25.06.2009 № 154 «О Порядке принятия решений об установлении тарифов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услуги  муниципал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ных предприятий и учреждений Артемовского городского округа, выполнение работ»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Думы </w:t>
      </w:r>
      <w:r>
        <w:rPr>
          <w:sz w:val="28"/>
          <w:szCs w:val="28"/>
        </w:rPr>
        <w:t xml:space="preserve">Артемовского городского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28.05.2020 № 426 «О Положении об организации ритуальных услуг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содержании мест захоронения на территории Артемовского городского округа»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Артемо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ского городского округа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03.06.2011 № 844-па «Об утверждении Положения о порядке у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тарифов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услуги</w:t>
      </w:r>
      <w:r>
        <w:rPr>
          <w:sz w:val="28"/>
          <w:szCs w:val="28"/>
        </w:rPr>
        <w:t xml:space="preserve">, предоставляемые муниципальными предприятиями и учреждениями Артемовского городского округа</w:t>
      </w:r>
      <w:r>
        <w:rPr>
          <w:sz w:val="28"/>
          <w:szCs w:val="28"/>
        </w:rPr>
        <w:t xml:space="preserve">, и работы, выполняемые муниципальными предприятиями и учреждениями Арт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мовского городского округа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, в связи с изменением расходов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предоставление услуг по сравнению с расходами, принятыми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установлении действующих тарифов, в т.ч.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рост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инфляции, </w:t>
      </w:r>
      <w:r>
        <w:rPr>
          <w:sz w:val="28"/>
          <w:szCs w:val="28"/>
        </w:rPr>
        <w:t xml:space="preserve">администрация Арт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тарифы на ритуальные</w:t>
      </w:r>
      <w:r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 и предметы</w:t>
      </w:r>
      <w:r>
        <w:rPr>
          <w:sz w:val="28"/>
          <w:szCs w:val="28"/>
        </w:rPr>
        <w:t xml:space="preserve"> ритуала</w:t>
      </w:r>
      <w:r>
        <w:rPr>
          <w:sz w:val="28"/>
          <w:szCs w:val="28"/>
        </w:rPr>
        <w:t xml:space="preserve">, предоставляе</w:t>
      </w:r>
      <w:r>
        <w:rPr>
          <w:sz w:val="28"/>
          <w:szCs w:val="28"/>
        </w:rPr>
        <w:t xml:space="preserve">мые</w:t>
      </w:r>
      <w:r>
        <w:rPr>
          <w:sz w:val="28"/>
          <w:szCs w:val="28"/>
        </w:rPr>
        <w:t xml:space="preserve"> сверх гарантированного перечня</w:t>
      </w:r>
      <w:r>
        <w:rPr>
          <w:sz w:val="28"/>
          <w:szCs w:val="28"/>
        </w:rPr>
        <w:t xml:space="preserve"> услуг по погребению, ок</w:t>
      </w:r>
      <w:r>
        <w:rPr>
          <w:sz w:val="28"/>
          <w:szCs w:val="28"/>
        </w:rPr>
        <w:t xml:space="preserve">азываемых муниципальным </w:t>
      </w:r>
      <w:r>
        <w:rPr>
          <w:sz w:val="28"/>
          <w:szCs w:val="28"/>
        </w:rPr>
        <w:t xml:space="preserve">автономным учреждением</w:t>
      </w:r>
      <w:r>
        <w:rPr>
          <w:sz w:val="28"/>
          <w:szCs w:val="28"/>
        </w:rPr>
        <w:t xml:space="preserve"> «Ритуал-Сервис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осуществлять п</w:t>
      </w:r>
      <w:r>
        <w:rPr>
          <w:sz w:val="28"/>
          <w:szCs w:val="28"/>
        </w:rPr>
        <w:t xml:space="preserve">огребение умершего</w:t>
      </w:r>
      <w:r>
        <w:rPr>
          <w:sz w:val="28"/>
          <w:szCs w:val="28"/>
        </w:rPr>
        <w:t xml:space="preserve">, на</w:t>
      </w:r>
      <w:r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(прилагаю</w:t>
      </w:r>
      <w:r>
        <w:rPr>
          <w:sz w:val="28"/>
          <w:szCs w:val="28"/>
        </w:rPr>
        <w:t xml:space="preserve">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widowControl w:val="off"/>
        <w:rPr>
          <w:spacing w:val="40"/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Арте</w:t>
      </w:r>
      <w:r>
        <w:rPr>
          <w:sz w:val="28"/>
          <w:szCs w:val="28"/>
        </w:rPr>
        <w:t xml:space="preserve">мовского городского округа от 20.11.2023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706</w:t>
      </w:r>
      <w:r>
        <w:rPr>
          <w:sz w:val="28"/>
          <w:szCs w:val="28"/>
        </w:rPr>
        <w:t xml:space="preserve">-па «Об утверждении тарифов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ритуальные услуги и предметы ритуала, предоставляемые сверх гарантированного перечн</w:t>
      </w:r>
      <w:r>
        <w:rPr>
          <w:sz w:val="28"/>
          <w:szCs w:val="28"/>
        </w:rPr>
        <w:t xml:space="preserve">я услуг по погребению, оказываемых Артемовским муниципальным унитарным предприятием «Ритуал-Сервис»,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осуществл</w:t>
      </w:r>
      <w:r>
        <w:rPr>
          <w:sz w:val="28"/>
          <w:szCs w:val="28"/>
        </w:rPr>
        <w:t xml:space="preserve">ять погребение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умершего, на 2024 год» с 01.01.2025</w:t>
      </w:r>
      <w:r>
        <w:rPr>
          <w:sz w:val="28"/>
          <w:szCs w:val="28"/>
        </w:rPr>
        <w:t xml:space="preserve"> г.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постановление в газете «Выбор» и разместить на официальном сайте </w:t>
      </w:r>
      <w:r>
        <w:rPr>
          <w:sz w:val="28"/>
          <w:szCs w:val="28"/>
        </w:rPr>
        <w:t xml:space="preserve">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Настоящее п</w:t>
      </w:r>
      <w:r>
        <w:rPr>
          <w:sz w:val="28"/>
          <w:szCs w:val="28"/>
        </w:rPr>
        <w:t xml:space="preserve">оста</w:t>
      </w:r>
      <w:r>
        <w:rPr>
          <w:sz w:val="28"/>
          <w:szCs w:val="28"/>
        </w:rPr>
        <w:t xml:space="preserve">новление вступает в силу со дня</w:t>
      </w:r>
      <w:r>
        <w:rPr>
          <w:sz w:val="28"/>
          <w:szCs w:val="28"/>
        </w:rPr>
        <w:t xml:space="preserve">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Тарифы на платные услуги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автономного учреждения</w:t>
      </w:r>
      <w:r>
        <w:rPr>
          <w:sz w:val="28"/>
          <w:szCs w:val="28"/>
        </w:rPr>
        <w:t xml:space="preserve"> «Ритуал-Сервис», устанавливаемые настоящим постановлением, дейс</w:t>
      </w:r>
      <w:r>
        <w:rPr>
          <w:sz w:val="28"/>
          <w:szCs w:val="28"/>
        </w:rPr>
        <w:t xml:space="preserve">твуют с 01.01.202</w:t>
      </w:r>
      <w:r>
        <w:rPr>
          <w:sz w:val="28"/>
          <w:szCs w:val="28"/>
        </w:rPr>
        <w:t xml:space="preserve">5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31.12.2025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53" w:lineRule="auto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администрации</w:t>
      </w:r>
      <w:r>
        <w:rPr>
          <w:sz w:val="28"/>
          <w:szCs w:val="28"/>
        </w:rPr>
        <w:t xml:space="preserve"> Артемовского городского округа  Воркову </w:t>
      </w:r>
      <w:r>
        <w:rPr>
          <w:sz w:val="28"/>
          <w:szCs w:val="28"/>
        </w:rPr>
        <w:t xml:space="preserve">В.А</w:t>
      </w:r>
      <w:r>
        <w:rPr>
          <w:sz w:val="28"/>
          <w:szCs w:val="28"/>
        </w:rPr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Артемовского г</w:t>
      </w:r>
      <w:r>
        <w:rPr>
          <w:sz w:val="28"/>
          <w:szCs w:val="28"/>
        </w:rPr>
        <w:t xml:space="preserve">ородского округа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851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2"/>
    <w:basedOn w:val="870"/>
    <w:next w:val="870"/>
    <w:link w:val="883"/>
    <w:qFormat/>
    <w:pPr>
      <w:jc w:val="center"/>
      <w:keepNext/>
      <w:outlineLvl w:val="1"/>
    </w:pPr>
    <w:rPr>
      <w:sz w:val="36"/>
      <w:szCs w:val="20"/>
    </w:rPr>
  </w:style>
  <w:style w:type="paragraph" w:styleId="872">
    <w:name w:val="Заголовок 3"/>
    <w:basedOn w:val="870"/>
    <w:next w:val="870"/>
    <w:link w:val="88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3">
    <w:name w:val="Основной шрифт абзаца"/>
    <w:next w:val="873"/>
    <w:link w:val="870"/>
    <w:semiHidden/>
  </w:style>
  <w:style w:type="table" w:styleId="874">
    <w:name w:val="Обычная таблица"/>
    <w:next w:val="874"/>
    <w:link w:val="870"/>
    <w:semiHidden/>
    <w:tblPr/>
  </w:style>
  <w:style w:type="numbering" w:styleId="875">
    <w:name w:val="Нет списка"/>
    <w:next w:val="875"/>
    <w:link w:val="870"/>
    <w:semiHidden/>
  </w:style>
  <w:style w:type="paragraph" w:styleId="876">
    <w:name w:val="ConsPlusNonformat"/>
    <w:next w:val="876"/>
    <w:link w:val="87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7">
    <w:name w:val="ConsPlusTitle"/>
    <w:next w:val="877"/>
    <w:link w:val="870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78">
    <w:name w:val="Верхний колонтитул"/>
    <w:basedOn w:val="870"/>
    <w:next w:val="878"/>
    <w:link w:val="870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3"/>
    <w:next w:val="879"/>
    <w:link w:val="870"/>
  </w:style>
  <w:style w:type="paragraph" w:styleId="880">
    <w:name w:val="Текст выноски"/>
    <w:basedOn w:val="870"/>
    <w:next w:val="880"/>
    <w:link w:val="870"/>
    <w:semiHidden/>
    <w:rPr>
      <w:rFonts w:ascii="Tahoma" w:hAnsi="Tahoma" w:cs="Tahoma"/>
      <w:sz w:val="16"/>
      <w:szCs w:val="16"/>
    </w:rPr>
  </w:style>
  <w:style w:type="table" w:styleId="881">
    <w:name w:val="Сетка таблицы"/>
    <w:basedOn w:val="874"/>
    <w:next w:val="881"/>
    <w:link w:val="870"/>
    <w:tblPr/>
  </w:style>
  <w:style w:type="character" w:styleId="882">
    <w:name w:val="Гиперссылка"/>
    <w:next w:val="882"/>
    <w:link w:val="870"/>
    <w:rPr>
      <w:color w:val="0000ff"/>
      <w:u w:val="single"/>
    </w:rPr>
  </w:style>
  <w:style w:type="character" w:styleId="883">
    <w:name w:val="Заголовок 2 Знак"/>
    <w:next w:val="883"/>
    <w:link w:val="871"/>
    <w:rPr>
      <w:sz w:val="36"/>
    </w:rPr>
  </w:style>
  <w:style w:type="character" w:styleId="884">
    <w:name w:val="Заголовок 3 Знак"/>
    <w:next w:val="884"/>
    <w:link w:val="872"/>
    <w:rPr>
      <w:b/>
      <w:sz w:val="26"/>
    </w:rPr>
  </w:style>
  <w:style w:type="paragraph" w:styleId="885">
    <w:name w:val="Нижний колонтитул"/>
    <w:basedOn w:val="870"/>
    <w:next w:val="885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rPr>
      <w:sz w:val="24"/>
      <w:szCs w:val="24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revision>49</cp:revision>
  <dcterms:created xsi:type="dcterms:W3CDTF">2018-10-08T04:30:00Z</dcterms:created>
  <dcterms:modified xsi:type="dcterms:W3CDTF">2024-12-02T02:15:41Z</dcterms:modified>
  <cp:version>983040</cp:version>
</cp:coreProperties>
</file>