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p>
      <w:r/>
      <w:r/>
    </w:p>
    <w:tbl>
      <w:tblPr>
        <w:tblW w:w="4677" w:type="dxa"/>
        <w:tblInd w:w="1031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7"/>
      </w:tblGrid>
      <w:tr>
        <w:tblPrEx/>
        <w:trPr>
          <w:trHeight w:val="2408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7" w:type="dxa"/>
            <w:vAlign w:val="top"/>
            <w:textDirection w:val="lrTb"/>
            <w:noWrap w:val="false"/>
          </w:tcPr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</w:t>
            </w:r>
            <w:r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Артёмовско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городско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           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8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jc w:val="center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КАРТА </w:t>
      </w:r>
      <w:r>
        <w:rPr>
          <w:b/>
          <w:sz w:val="28"/>
          <w:szCs w:val="28"/>
        </w:rPr>
        <w:t xml:space="preserve">КОМПЛАЕНС-РИСКОВ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9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нарушения антимонопольного законодательства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9"/>
        <w:ind w:left="5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управлени</w:t>
      </w:r>
      <w:r>
        <w:rPr>
          <w:b/>
          <w:sz w:val="28"/>
          <w:szCs w:val="28"/>
        </w:rPr>
        <w:t xml:space="preserve">ем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культуры, туризма и молодежной политики администрации Артемовского городского округа</w:t>
      </w:r>
      <w:r>
        <w:rPr>
          <w:b/>
          <w:sz w:val="28"/>
          <w:szCs w:val="28"/>
        </w:rPr>
        <w:t xml:space="preserve"> </w:t>
        <w:br/>
        <w:t xml:space="preserve">на 202</w:t>
      </w:r>
      <w:r>
        <w:rPr>
          <w:b/>
          <w:sz w:val="28"/>
          <w:szCs w:val="28"/>
        </w:rPr>
        <w:t xml:space="preserve">5 год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89"/>
        <w:ind w:left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15307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3402"/>
        <w:gridCol w:w="3402"/>
        <w:gridCol w:w="2975"/>
        <w:gridCol w:w="1417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п/п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Уровень риска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Вид риска (описание)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Причины возникновения рисков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Мероприятия по минимизации и устранению рисков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Наличие (отсутствие) остаточных рисков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Оценка вероятности (возможности наступления рисков)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1984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975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7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54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89"/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1984" w:type="dxa"/>
            <w:vAlign w:val="top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Незначительный 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Нарушение антимонопольного законодательства при разработке и утверждении нормативных правовых актов (НПА) управления культуры, туризма и молодежной политики администрации Артемовского городского округа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Разработка и утверждение НПА с нарушением требований антимонопольного законодательства.</w:t>
            </w:r>
            <w:r/>
          </w:p>
          <w:p>
            <w:pPr>
              <w:pStyle w:val="889"/>
            </w:pPr>
            <w:r>
              <w:t xml:space="preserve">Ненадлежащий уровень экспертизы и анализа проектов НПА на предмет соответствия нормам </w:t>
            </w:r>
            <w:r>
              <w:t xml:space="preserve">антимонопольного законодательства</w:t>
            </w:r>
            <w:r/>
          </w:p>
        </w:tc>
        <w:tc>
          <w:tcPr>
            <w:shd w:val="clear" w:color="auto" w:fill="ffffff"/>
            <w:tcW w:w="2975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Контроль за соблюдением</w:t>
            </w:r>
            <w:r>
              <w:t xml:space="preserve"> действующего </w:t>
            </w:r>
            <w:r>
              <w:t xml:space="preserve">антимонопольного законодательства</w:t>
            </w:r>
            <w:r>
              <w:t xml:space="preserve"> при разработке и утверждении НПА</w:t>
            </w:r>
            <w:r/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р</w:t>
            </w:r>
            <w:r>
              <w:t xml:space="preserve">иск не возникал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н</w:t>
            </w:r>
            <w:r>
              <w:t xml:space="preserve">изкая </w:t>
            </w:r>
            <w:r/>
          </w:p>
        </w:tc>
      </w:tr>
      <w:tr>
        <w:tblPrEx/>
        <w:trPr>
          <w:trHeight w:val="390"/>
        </w:trPr>
        <w:tc>
          <w:tcPr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ffffff" w:fill="ffffff"/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highlight w:val="none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Незначительный</w:t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  <w:t xml:space="preserve">Нарушение антимонопольного 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</w:pPr>
            <w:r>
              <w:t xml:space="preserve">Нарушение сроков подготовки</w:t>
            </w:r>
            <w:r/>
          </w:p>
        </w:tc>
        <w:tc>
          <w:tcPr>
            <w:shd w:val="clear" w:color="ffffff" w:fill="ffffff"/>
            <w:tcW w:w="2975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</w:pPr>
            <w:r>
              <w:t xml:space="preserve">Разъяснение работникам</w:t>
            </w:r>
            <w:r>
              <w:t xml:space="preserve"> </w:t>
            </w:r>
            <w:r/>
          </w:p>
        </w:tc>
        <w:tc>
          <w:tcPr>
            <w:shd w:val="clear" w:color="ffffff" w:fill="ffffff"/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</w:pPr>
            <w:r>
              <w:t xml:space="preserve">р</w:t>
            </w:r>
            <w:r>
              <w:t xml:space="preserve">иск не </w:t>
            </w:r>
            <w:r/>
          </w:p>
        </w:tc>
        <w:tc>
          <w:tcPr>
            <w:shd w:val="clear" w:color="ffffff" w:fill="ffffff"/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</w:pPr>
            <w:r>
              <w:t xml:space="preserve">н</w:t>
            </w:r>
            <w:r>
              <w:t xml:space="preserve">изкая</w:t>
            </w:r>
            <w:r/>
          </w:p>
        </w:tc>
      </w:tr>
      <w:tr>
        <w:tblPrEx/>
        <w:trPr>
          <w:trHeight w:val="249"/>
        </w:trPr>
        <w:tc>
          <w:tcPr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2975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shd w:val="clear" w:color="ffffff" w:fill="ffffff"/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7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6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89"/>
              <w:ind w:left="360" w:firstLine="0"/>
              <w:jc w:val="left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1984" w:type="dxa"/>
            <w:vAlign w:val="top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законодательства при</w:t>
            </w:r>
            <w: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подготовке ответов на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89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обращения физических и юридических лиц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ответов на обращения физических и юридических</w:t>
            </w:r>
            <w:r/>
          </w:p>
          <w:p>
            <w:pPr>
              <w:pStyle w:val="889"/>
            </w:pPr>
            <w:r>
              <w:t xml:space="preserve">лиц</w:t>
            </w:r>
            <w:r>
              <w:t xml:space="preserve">.</w:t>
            </w:r>
            <w:r/>
          </w:p>
          <w:p>
            <w:pPr>
              <w:pStyle w:val="889"/>
            </w:pPr>
            <w:r>
              <w:t xml:space="preserve">Непредставление ответов </w:t>
            </w:r>
            <w:r>
              <w:t xml:space="preserve">на обращения физических и юридических</w:t>
            </w:r>
            <w:r>
              <w:t xml:space="preserve"> лиц</w:t>
            </w:r>
            <w:r/>
          </w:p>
          <w:p>
            <w:pPr>
              <w:pStyle w:val="889"/>
            </w:pPr>
            <w:r/>
            <w:r/>
          </w:p>
        </w:tc>
        <w:tc>
          <w:tcPr>
            <w:shd w:val="clear" w:color="auto" w:fill="ffffff"/>
            <w:tcW w:w="2975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управления требований Федерального закона</w:t>
            </w:r>
            <w:r/>
          </w:p>
          <w:p>
            <w:pPr>
              <w:pStyle w:val="889"/>
            </w:pPr>
            <w:r>
              <w:t xml:space="preserve">от 02.05.2006 № 59-ФЗ </w:t>
              <w:br w:type="textWrapping" w:clear="all"/>
            </w:r>
            <w:r>
              <w:t xml:space="preserve">«О порядке рассмотрения обращений граждан Российской Федерации».</w:t>
            </w:r>
            <w:r/>
          </w:p>
          <w:p>
            <w:pPr>
              <w:pStyle w:val="889"/>
            </w:pPr>
            <w:r>
              <w:t xml:space="preserve">Контроль за соблюдением порядка рассмотрения обращений физических и юридических лиц</w:t>
            </w:r>
            <w:r/>
          </w:p>
        </w:tc>
        <w:tc>
          <w:tcPr>
            <w:shd w:val="clear" w:color="auto" w:fill="ffffff"/>
            <w:tcW w:w="1417" w:type="dxa"/>
            <w:vAlign w:val="top"/>
            <w:textDirection w:val="lrTb"/>
            <w:noWrap w:val="false"/>
          </w:tcPr>
          <w:p>
            <w:pPr>
              <w:pStyle w:val="889"/>
            </w:pPr>
            <w:r>
              <w:t xml:space="preserve">возникал</w:t>
            </w:r>
            <w:r/>
          </w:p>
        </w:tc>
        <w:tc>
          <w:tcPr>
            <w:shd w:val="clear" w:color="auto" w:fill="ffffff"/>
            <w:tcW w:w="1559" w:type="dxa"/>
            <w:vAlign w:val="top"/>
            <w:textDirection w:val="lrTb"/>
            <w:noWrap w:val="false"/>
          </w:tcPr>
          <w:p>
            <w:pPr>
              <w:pStyle w:val="889"/>
            </w:pPr>
            <w:r/>
            <w:r/>
          </w:p>
        </w:tc>
      </w:tr>
    </w:tbl>
    <w:p>
      <w:r/>
      <w:r/>
    </w:p>
    <w:sectPr>
      <w:headerReference w:type="default" r:id="rId9"/>
      <w:footerReference w:type="first" r:id="rId10"/>
      <w:footnotePr/>
      <w:endnotePr/>
      <w:type w:val="nextPage"/>
      <w:pgSz w:w="16838" w:h="11906" w:orient="landscape"/>
      <w:pgMar w:top="568" w:right="851" w:bottom="709" w:left="567" w:header="567" w:footer="149" w:gutter="567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jc w:val="center"/>
    </w:pPr>
    <w:r>
      <w:rPr>
        <w:sz w:val="28"/>
        <w:szCs w:val="28"/>
      </w:rPr>
    </w:r>
    <w:r>
      <w:fldChar w:fldCharType="begin"/>
    </w:r>
    <w: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rPr>
        <w:sz w:val="28"/>
        <w:szCs w:val="28"/>
      </w:rPr>
      <w:fldChar w:fldCharType="end"/>
    </w:r>
    <w:r/>
  </w:p>
  <w:p>
    <w:pPr>
      <w:pStyle w:val="897"/>
      <w:jc w:val="center"/>
      <w:rPr>
        <w:sz w:val="16"/>
        <w:szCs w:val="16"/>
      </w:rPr>
    </w:pPr>
    <w:r>
      <w:rPr>
        <w:sz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897"/>
      <w:jc w:val="center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897"/>
      <w:jc w:val="center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897"/>
      <w:jc w:val="center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  <w:p>
    <w:pPr>
      <w:pStyle w:val="897"/>
      <w:jc w:val="center"/>
      <w:rPr>
        <w:sz w:val="16"/>
        <w:szCs w:val="16"/>
      </w:rPr>
    </w:pPr>
    <w:r>
      <w:rPr>
        <w:sz w:val="16"/>
      </w:rPr>
    </w:r>
    <w:r>
      <w:rPr>
        <w:sz w:val="16"/>
        <w:szCs w:val="16"/>
      </w:rPr>
    </w:r>
    <w:r>
      <w:rPr>
        <w:sz w:val="16"/>
        <w:szCs w:val="1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basedOn w:val="889"/>
    <w:next w:val="889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link w:val="711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9"/>
    <w:next w:val="889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9"/>
    <w:next w:val="889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9"/>
    <w:next w:val="889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9"/>
    <w:next w:val="889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889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9"/>
    <w:next w:val="889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link w:val="731"/>
    <w:uiPriority w:val="10"/>
    <w:rPr>
      <w:sz w:val="48"/>
      <w:szCs w:val="48"/>
    </w:rPr>
  </w:style>
  <w:style w:type="paragraph" w:styleId="733">
    <w:name w:val="Subtitle"/>
    <w:basedOn w:val="889"/>
    <w:next w:val="889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link w:val="733"/>
    <w:uiPriority w:val="11"/>
    <w:rPr>
      <w:sz w:val="24"/>
      <w:szCs w:val="24"/>
    </w:rPr>
  </w:style>
  <w:style w:type="paragraph" w:styleId="735">
    <w:name w:val="Quote"/>
    <w:basedOn w:val="889"/>
    <w:next w:val="889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9"/>
    <w:next w:val="889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paragraph" w:styleId="739">
    <w:name w:val="Header"/>
    <w:basedOn w:val="889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Header Char"/>
    <w:link w:val="739"/>
    <w:uiPriority w:val="99"/>
  </w:style>
  <w:style w:type="paragraph" w:styleId="741">
    <w:name w:val="Footer"/>
    <w:basedOn w:val="889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Footer Char"/>
    <w:link w:val="741"/>
    <w:uiPriority w:val="99"/>
  </w:style>
  <w:style w:type="paragraph" w:styleId="743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741"/>
    <w:uiPriority w:val="99"/>
  </w:style>
  <w:style w:type="table" w:styleId="74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000ff" w:themeColor="hyperlink"/>
      <w:u w:val="single"/>
    </w:r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next w:val="889"/>
    <w:link w:val="889"/>
    <w:qFormat/>
    <w:rPr>
      <w:sz w:val="24"/>
      <w:szCs w:val="24"/>
      <w:lang w:val="ru-RU" w:eastAsia="ru-RU" w:bidi="ar-SA"/>
    </w:rPr>
  </w:style>
  <w:style w:type="paragraph" w:styleId="890">
    <w:name w:val="Заголовок 5"/>
    <w:basedOn w:val="889"/>
    <w:next w:val="889"/>
    <w:link w:val="903"/>
    <w:uiPriority w:val="9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styleId="891">
    <w:name w:val="Основной шрифт абзаца"/>
    <w:next w:val="891"/>
    <w:link w:val="889"/>
    <w:semiHidden/>
  </w:style>
  <w:style w:type="table" w:styleId="892">
    <w:name w:val="Обычная таблица"/>
    <w:next w:val="892"/>
    <w:link w:val="889"/>
    <w:semiHidden/>
    <w:tblPr/>
  </w:style>
  <w:style w:type="numbering" w:styleId="893">
    <w:name w:val="Нет списка"/>
    <w:next w:val="893"/>
    <w:link w:val="889"/>
    <w:semiHidden/>
  </w:style>
  <w:style w:type="table" w:styleId="894">
    <w:name w:val="Сетка таблицы"/>
    <w:basedOn w:val="892"/>
    <w:next w:val="894"/>
    <w:link w:val="889"/>
    <w:tblPr/>
  </w:style>
  <w:style w:type="paragraph" w:styleId="895">
    <w:name w:val="Текст выноски"/>
    <w:basedOn w:val="889"/>
    <w:next w:val="895"/>
    <w:link w:val="896"/>
    <w:rPr>
      <w:rFonts w:ascii="Tahoma" w:hAnsi="Tahoma"/>
      <w:sz w:val="16"/>
      <w:szCs w:val="16"/>
      <w:lang w:val="en-US" w:eastAsia="en-US"/>
    </w:rPr>
  </w:style>
  <w:style w:type="character" w:styleId="896">
    <w:name w:val="Текст выноски Знак"/>
    <w:next w:val="896"/>
    <w:link w:val="895"/>
    <w:rPr>
      <w:rFonts w:ascii="Tahoma" w:hAnsi="Tahoma" w:cs="Tahoma"/>
      <w:sz w:val="16"/>
      <w:szCs w:val="16"/>
    </w:rPr>
  </w:style>
  <w:style w:type="paragraph" w:styleId="897">
    <w:name w:val="Верхний колонтитул"/>
    <w:basedOn w:val="889"/>
    <w:next w:val="897"/>
    <w:link w:val="89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8">
    <w:name w:val="Верхний колонтитул Знак"/>
    <w:next w:val="898"/>
    <w:link w:val="897"/>
    <w:uiPriority w:val="99"/>
    <w:rPr>
      <w:sz w:val="24"/>
      <w:szCs w:val="24"/>
    </w:rPr>
  </w:style>
  <w:style w:type="paragraph" w:styleId="899">
    <w:name w:val="Нижний колонтитул"/>
    <w:basedOn w:val="889"/>
    <w:next w:val="899"/>
    <w:link w:val="900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0">
    <w:name w:val="Нижний колонтитул Знак"/>
    <w:next w:val="900"/>
    <w:link w:val="899"/>
    <w:rPr>
      <w:sz w:val="24"/>
      <w:szCs w:val="24"/>
    </w:rPr>
  </w:style>
  <w:style w:type="paragraph" w:styleId="901">
    <w:name w:val="Стандартный HTML"/>
    <w:basedOn w:val="889"/>
    <w:next w:val="901"/>
    <w:link w:val="902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 w:eastAsia="en-US"/>
    </w:rPr>
  </w:style>
  <w:style w:type="character" w:styleId="902">
    <w:name w:val="Стандартный HTML Знак"/>
    <w:next w:val="902"/>
    <w:link w:val="901"/>
    <w:rPr>
      <w:rFonts w:ascii="Courier New" w:hAnsi="Courier New" w:cs="Courier New"/>
    </w:rPr>
  </w:style>
  <w:style w:type="character" w:styleId="903">
    <w:name w:val="Заголовок 5 Знак"/>
    <w:next w:val="903"/>
    <w:link w:val="890"/>
    <w:uiPriority w:val="9"/>
    <w:rPr>
      <w:rFonts w:ascii="Calibri" w:hAnsi="Calibri"/>
      <w:b/>
      <w:bCs/>
      <w:i/>
      <w:iCs/>
      <w:sz w:val="26"/>
      <w:szCs w:val="26"/>
    </w:rPr>
  </w:style>
  <w:style w:type="table" w:styleId="904">
    <w:name w:val="Сетка таблицы1"/>
    <w:basedOn w:val="892"/>
    <w:next w:val="894"/>
    <w:link w:val="889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05" w:default="1">
    <w:name w:val="Default Paragraph Font"/>
    <w:uiPriority w:val="1"/>
    <w:semiHidden/>
    <w:unhideWhenUsed/>
  </w:style>
  <w:style w:type="numbering" w:styleId="906" w:default="1">
    <w:name w:val="No List"/>
    <w:uiPriority w:val="99"/>
    <w:semiHidden/>
    <w:unhideWhenUsed/>
  </w:style>
  <w:style w:type="table" w:styleId="90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creator>Admin</dc:creator>
  <cp:revision>266</cp:revision>
  <dcterms:created xsi:type="dcterms:W3CDTF">2016-02-25T01:09:00Z</dcterms:created>
  <dcterms:modified xsi:type="dcterms:W3CDTF">2025-02-13T06:05:20Z</dcterms:modified>
  <cp:version>983040</cp:version>
</cp:coreProperties>
</file>