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rPr>
          <w:sz w:val="28"/>
          <w:szCs w:val="28"/>
        </w:rPr>
      </w:pPr>
      <w:r>
        <w:tab/>
        <w:tab/>
        <w:tab/>
        <w:tab/>
        <w:tab/>
        <w:tab/>
        <w:tab/>
        <w:tab/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ab/>
        <w:tab/>
        <w:tab/>
        <w:tab/>
        <w:tab/>
        <w:tab/>
        <w:tab/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  <w:tab/>
        <w:tab/>
        <w:tab/>
        <w:tab/>
        <w:tab/>
        <w:tab/>
        <w:tab/>
        <w:tab/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аспоряжением администрации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>
        <w:rPr>
          <w:sz w:val="28"/>
          <w:szCs w:val="28"/>
        </w:rPr>
        <w:t xml:space="preserve">                        №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ключевых показателей эффективности функционирования антимонопольного комплаенса в управлении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культуры, туризма и молодежной политики администрации Артемовского городского округа</w:t>
      </w:r>
      <w:r>
        <w:rPr>
          <w:b/>
          <w:sz w:val="28"/>
          <w:szCs w:val="28"/>
        </w:rPr>
        <w:t xml:space="preserve"> на 2025</w:t>
      </w:r>
      <w:r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2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2"/>
        <w:jc w:val="center"/>
        <w:rPr>
          <w:b/>
          <w:bCs/>
          <w:sz w:val="22"/>
        </w:rPr>
      </w:pPr>
      <w:r>
        <w:rPr>
          <w:b/>
          <w:bCs/>
          <w:sz w:val="22"/>
        </w:rPr>
      </w:r>
      <w:r>
        <w:rPr>
          <w:b/>
          <w:bCs/>
          <w:sz w:val="22"/>
        </w:rPr>
      </w:r>
      <w:r>
        <w:rPr>
          <w:b/>
          <w:bCs/>
          <w:sz w:val="22"/>
        </w:rPr>
      </w:r>
    </w:p>
    <w:tbl>
      <w:tblPr>
        <w:tblW w:w="960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05"/>
        <w:gridCol w:w="6058"/>
        <w:gridCol w:w="29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  <w:p>
            <w:pPr>
              <w:pStyle w:val="8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п/п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Наименование ключевого показателя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  <w:p>
            <w:pPr>
              <w:pStyle w:val="872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  <w:tc>
          <w:tcPr>
            <w:tcW w:w="294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Значение показателя (балл)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6058" w:type="dxa"/>
            <w:vAlign w:val="top"/>
            <w:textDirection w:val="lrTb"/>
            <w:noWrap w:val="false"/>
          </w:tcPr>
          <w:p>
            <w:pPr>
              <w:pStyle w:val="8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94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872"/>
              <w:numPr>
                <w:ilvl w:val="0"/>
                <w:numId w:val="13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6058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Количество проектов нормативных правовых актов (НПА), подготовленных </w:t>
            </w:r>
            <w:r>
              <w:rPr>
                <w:rFonts w:eastAsia="Calibri"/>
                <w:color w:val="000000"/>
                <w:lang w:eastAsia="en-US"/>
              </w:rPr>
              <w:t xml:space="preserve">управлени</w:t>
            </w:r>
            <w:r>
              <w:rPr>
                <w:rFonts w:eastAsia="Calibri"/>
                <w:color w:val="000000"/>
                <w:lang w:eastAsia="en-US"/>
              </w:rPr>
              <w:t xml:space="preserve">ем</w:t>
            </w:r>
            <w:r>
              <w:rPr>
                <w:rFonts w:eastAsia="Calibri"/>
                <w:color w:val="000000"/>
                <w:lang w:eastAsia="en-US"/>
              </w:rPr>
              <w:t xml:space="preserve"> культуры, туризма и молодежной политики</w:t>
            </w:r>
            <w:r>
              <w:rPr>
                <w:rFonts w:eastAsia="Calibri"/>
                <w:color w:val="000000"/>
                <w:lang w:eastAsia="en-US"/>
              </w:rPr>
              <w:t xml:space="preserve">, в которых выявлены риски нарушения </w:t>
            </w:r>
            <w:r>
              <w:rPr>
                <w:rFonts w:eastAsia="Calibri"/>
                <w:color w:val="000000"/>
                <w:lang w:eastAsia="en-US"/>
              </w:rPr>
              <w:t xml:space="preserve">антимонопольного</w:t>
            </w:r>
            <w: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законодательства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нет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более 2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2943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35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20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0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872"/>
              <w:numPr>
                <w:ilvl w:val="0"/>
                <w:numId w:val="13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6058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Количество нарушений антимонопольного законодательства управлением культуры,</w:t>
            </w:r>
            <w:r>
              <w:t xml:space="preserve"> </w:t>
            </w:r>
            <w:r>
              <w:rPr>
                <w:rFonts w:eastAsia="Calibri"/>
                <w:color w:val="000000"/>
                <w:lang w:eastAsia="en-US"/>
              </w:rPr>
              <w:t xml:space="preserve">туризма и молодежной политики,</w:t>
            </w:r>
            <w:r>
              <w:rPr>
                <w:rFonts w:eastAsia="Calibri"/>
                <w:color w:val="000000"/>
                <w:lang w:eastAsia="en-US"/>
              </w:rPr>
              <w:t xml:space="preserve"> выявленных</w:t>
            </w:r>
            <w:r>
              <w:rPr>
                <w:rFonts w:eastAsia="Calibri"/>
                <w:color w:val="000000"/>
                <w:lang w:eastAsia="en-US"/>
              </w:rPr>
              <w:t xml:space="preserve"> при подготовке ответов на </w:t>
            </w:r>
            <w:r>
              <w:rPr>
                <w:rFonts w:eastAsia="Calibri"/>
                <w:color w:val="000000"/>
                <w:lang w:eastAsia="en-US"/>
              </w:rPr>
              <w:t xml:space="preserve">обращения физических и юридических лиц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</w:t>
            </w:r>
            <w:r>
              <w:rPr>
                <w:rFonts w:eastAsia="Calibri"/>
                <w:color w:val="000000"/>
                <w:lang w:eastAsia="en-US"/>
              </w:rPr>
              <w:t xml:space="preserve">ет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более 2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sz w:val="8"/>
                <w:lang w:eastAsia="en-US"/>
              </w:rPr>
            </w:pPr>
            <w:r>
              <w:rPr>
                <w:rFonts w:eastAsia="Calibri"/>
                <w:color w:val="000000"/>
                <w:sz w:val="8"/>
                <w:lang w:eastAsia="en-US"/>
              </w:rPr>
            </w:r>
            <w:r>
              <w:rPr>
                <w:rFonts w:eastAsia="Calibri"/>
                <w:color w:val="000000"/>
                <w:sz w:val="8"/>
                <w:lang w:eastAsia="en-US"/>
              </w:rPr>
            </w:r>
            <w:r>
              <w:rPr>
                <w:rFonts w:eastAsia="Calibri"/>
                <w:color w:val="000000"/>
                <w:sz w:val="8"/>
                <w:lang w:eastAsia="en-US"/>
              </w:rPr>
            </w:r>
          </w:p>
        </w:tc>
        <w:tc>
          <w:tcPr>
            <w:shd w:val="clear" w:color="auto" w:fill="ffffff"/>
            <w:tcW w:w="2943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35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20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0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872"/>
              <w:numPr>
                <w:ilvl w:val="0"/>
                <w:numId w:val="13"/>
              </w:num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6058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Выполнение плана мероприятий («</w:t>
            </w:r>
            <w:r>
              <w:rPr>
                <w:rFonts w:eastAsia="Calibri"/>
                <w:color w:val="000000"/>
                <w:lang w:eastAsia="en-US"/>
              </w:rPr>
              <w:t xml:space="preserve">д</w:t>
            </w:r>
            <w:r>
              <w:rPr>
                <w:rFonts w:eastAsia="Calibri"/>
                <w:color w:val="000000"/>
                <w:lang w:eastAsia="en-US"/>
              </w:rPr>
              <w:t xml:space="preserve">орожной карты») по снижению рисков нарушения антимонопольного законодательства: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выполнены все мероприятия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частичное выполнение мероприятий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r/>
            <w:r/>
          </w:p>
          <w:p>
            <w:pPr>
              <w:pStyle w:val="872"/>
            </w:pPr>
            <w:r>
              <w:rPr>
                <w:rFonts w:eastAsia="Calibri"/>
                <w:color w:val="000000"/>
                <w:lang w:eastAsia="en-US"/>
              </w:rPr>
            </w:r>
            <w:r/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невыполнение мероприятий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294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30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значение показателя снижается пропорционально количеству невыполненных мероприятий от общего количества мероприятий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0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606" w:type="dxa"/>
            <w:vAlign w:val="top"/>
            <w:textDirection w:val="lrTb"/>
            <w:noWrap w:val="false"/>
          </w:tcPr>
          <w:p>
            <w:pPr>
              <w:pStyle w:val="872"/>
            </w:pPr>
            <w:r>
              <w:rPr>
                <w:rFonts w:eastAsia="Calibri"/>
                <w:color w:val="000000"/>
                <w:lang w:eastAsia="en-US"/>
              </w:rPr>
              <w:t xml:space="preserve">Методика расчета показателей - расчет значения итогового показателя производится путем суммирования баллов (период, за который производится оценка, - календарный год)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2"/>
            <w:tcW w:w="6663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Уровень </w:t>
            </w:r>
            <w:r>
              <w:rPr>
                <w:rFonts w:eastAsia="Calibri"/>
                <w:color w:val="000000"/>
                <w:lang w:eastAsia="en-US"/>
              </w:rPr>
              <w:t xml:space="preserve">эффективности антимонопольного комплаенса</w:t>
            </w:r>
            <w:r>
              <w:rPr>
                <w:rFonts w:eastAsia="Calibri"/>
                <w:color w:val="000000"/>
                <w:lang w:eastAsia="en-US"/>
              </w:rPr>
              <w:t xml:space="preserve">: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высокая эффективность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средняя </w:t>
            </w:r>
            <w:r>
              <w:rPr>
                <w:rFonts w:eastAsia="Calibri"/>
                <w:color w:val="000000"/>
                <w:lang w:eastAsia="en-US"/>
              </w:rPr>
              <w:t xml:space="preserve">эффективность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низкая </w:t>
            </w:r>
            <w:r>
              <w:rPr>
                <w:rFonts w:eastAsia="Calibri"/>
                <w:color w:val="000000"/>
                <w:lang w:eastAsia="en-US"/>
              </w:rPr>
              <w:t xml:space="preserve">эффективность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неэффективно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  <w:tc>
          <w:tcPr>
            <w:shd w:val="clear" w:color="auto" w:fill="ffffff"/>
            <w:tcW w:w="2943" w:type="dxa"/>
            <w:vAlign w:val="top"/>
            <w:textDirection w:val="lrTb"/>
            <w:noWrap w:val="false"/>
          </w:tcPr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количество баллов: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 100 до 50 баллов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lang w:eastAsia="en-US"/>
              </w:rPr>
              <w:t xml:space="preserve">49</w:t>
            </w:r>
            <w:r>
              <w:rPr>
                <w:rFonts w:eastAsia="Calibri"/>
                <w:color w:val="000000"/>
                <w:lang w:eastAsia="en-US"/>
              </w:rPr>
              <w:t xml:space="preserve"> до </w:t>
            </w:r>
            <w:r>
              <w:rPr>
                <w:rFonts w:eastAsia="Calibri"/>
                <w:color w:val="000000"/>
                <w:lang w:eastAsia="en-US"/>
              </w:rPr>
              <w:t xml:space="preserve">20</w:t>
            </w:r>
            <w:r>
              <w:rPr>
                <w:rFonts w:eastAsia="Calibri"/>
                <w:color w:val="000000"/>
                <w:lang w:eastAsia="en-US"/>
              </w:rPr>
              <w:t xml:space="preserve"> баллов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от </w:t>
            </w:r>
            <w:r>
              <w:rPr>
                <w:rFonts w:eastAsia="Calibri"/>
                <w:color w:val="000000"/>
                <w:lang w:eastAsia="en-US"/>
              </w:rPr>
              <w:t xml:space="preserve">19</w:t>
            </w:r>
            <w:r>
              <w:rPr>
                <w:rFonts w:eastAsia="Calibri"/>
                <w:color w:val="000000"/>
                <w:lang w:eastAsia="en-US"/>
              </w:rPr>
              <w:t xml:space="preserve"> до </w:t>
            </w:r>
            <w:r>
              <w:rPr>
                <w:rFonts w:eastAsia="Calibri"/>
                <w:color w:val="000000"/>
                <w:lang w:eastAsia="en-US"/>
              </w:rPr>
              <w:t xml:space="preserve">10</w:t>
            </w:r>
            <w:r>
              <w:rPr>
                <w:rFonts w:eastAsia="Calibri"/>
                <w:color w:val="000000"/>
                <w:lang w:eastAsia="en-US"/>
              </w:rPr>
              <w:t xml:space="preserve"> баллов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  <w:p>
            <w:pPr>
              <w:pStyle w:val="87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ниже 10 баллов</w:t>
            </w:r>
            <w:r>
              <w:rPr>
                <w:rFonts w:eastAsia="Calibri"/>
                <w:color w:val="000000"/>
                <w:lang w:eastAsia="en-US"/>
              </w:rPr>
            </w:r>
            <w:r>
              <w:rPr>
                <w:rFonts w:eastAsia="Calibri"/>
                <w:color w:val="000000"/>
                <w:lang w:eastAsia="en-US"/>
              </w:rPr>
            </w:r>
          </w:p>
        </w:tc>
      </w:tr>
    </w:tbl>
    <w:sectPr>
      <w:headerReference w:type="default" r:id="rId9"/>
      <w:footnotePr/>
      <w:endnotePr/>
      <w:type w:val="nextPage"/>
      <w:pgSz w:w="11906" w:h="16838" w:orient="portrait"/>
      <w:pgMar w:top="1134" w:right="567" w:bottom="993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</w:pPr>
    <w:r/>
    <w:r/>
  </w:p>
  <w:p>
    <w:pPr>
      <w:pStyle w:val="8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644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8"/>
  </w:num>
  <w:num w:numId="5">
    <w:abstractNumId w:val="4"/>
  </w:num>
  <w:num w:numId="6">
    <w:abstractNumId w:val="10"/>
  </w:num>
  <w:num w:numId="7">
    <w:abstractNumId w:val="0"/>
  </w:num>
  <w:num w:numId="8">
    <w:abstractNumId w:val="2"/>
  </w:num>
  <w:num w:numId="9">
    <w:abstractNumId w:val="3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1"/>
    <w:basedOn w:val="872"/>
    <w:next w:val="872"/>
    <w:link w:val="872"/>
    <w:qFormat/>
    <w:pPr>
      <w:jc w:val="both"/>
      <w:keepNext/>
      <w:outlineLvl w:val="0"/>
    </w:pPr>
    <w:rPr>
      <w:szCs w:val="20"/>
    </w:rPr>
  </w:style>
  <w:style w:type="paragraph" w:styleId="874">
    <w:name w:val="Заголовок 2"/>
    <w:basedOn w:val="872"/>
    <w:next w:val="872"/>
    <w:link w:val="872"/>
    <w:qFormat/>
    <w:pPr>
      <w:jc w:val="center"/>
      <w:keepNext/>
      <w:outlineLvl w:val="1"/>
    </w:pPr>
    <w:rPr>
      <w:b/>
    </w:rPr>
  </w:style>
  <w:style w:type="character" w:styleId="875">
    <w:name w:val="Основной шрифт абзаца"/>
    <w:next w:val="875"/>
    <w:link w:val="872"/>
    <w:semiHidden/>
  </w:style>
  <w:style w:type="table" w:styleId="876">
    <w:name w:val="Обычная таблица"/>
    <w:next w:val="876"/>
    <w:link w:val="872"/>
    <w:semiHidden/>
    <w:tblPr/>
  </w:style>
  <w:style w:type="numbering" w:styleId="877">
    <w:name w:val="Нет списка"/>
    <w:next w:val="877"/>
    <w:link w:val="872"/>
    <w:semiHidden/>
  </w:style>
  <w:style w:type="paragraph" w:styleId="878">
    <w:name w:val="Основной текст"/>
    <w:basedOn w:val="872"/>
    <w:next w:val="878"/>
    <w:link w:val="872"/>
    <w:pPr>
      <w:jc w:val="center"/>
    </w:pPr>
    <w:rPr>
      <w:b/>
    </w:rPr>
  </w:style>
  <w:style w:type="paragraph" w:styleId="879">
    <w:name w:val="Без интервала"/>
    <w:next w:val="879"/>
    <w:link w:val="872"/>
    <w:uiPriority w:val="1"/>
    <w:qFormat/>
    <w:rPr>
      <w:sz w:val="24"/>
      <w:szCs w:val="24"/>
      <w:lang w:val="ru-RU" w:eastAsia="ru-RU" w:bidi="ar-SA"/>
    </w:rPr>
  </w:style>
  <w:style w:type="paragraph" w:styleId="880">
    <w:name w:val="Текст выноски"/>
    <w:basedOn w:val="872"/>
    <w:next w:val="880"/>
    <w:link w:val="881"/>
    <w:rPr>
      <w:rFonts w:ascii="Tahoma" w:hAnsi="Tahoma" w:cs="Tahoma"/>
      <w:sz w:val="16"/>
      <w:szCs w:val="16"/>
    </w:rPr>
  </w:style>
  <w:style w:type="character" w:styleId="881">
    <w:name w:val="Текст выноски Знак"/>
    <w:next w:val="881"/>
    <w:link w:val="880"/>
    <w:rPr>
      <w:rFonts w:ascii="Tahoma" w:hAnsi="Tahoma" w:cs="Tahoma"/>
      <w:sz w:val="16"/>
      <w:szCs w:val="16"/>
    </w:rPr>
  </w:style>
  <w:style w:type="table" w:styleId="882">
    <w:name w:val="Сетка таблицы"/>
    <w:basedOn w:val="876"/>
    <w:next w:val="882"/>
    <w:link w:val="87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883">
    <w:name w:val="Сетка таблицы1"/>
    <w:basedOn w:val="876"/>
    <w:next w:val="882"/>
    <w:link w:val="87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table" w:styleId="884">
    <w:name w:val="Сетка таблицы2"/>
    <w:basedOn w:val="876"/>
    <w:next w:val="882"/>
    <w:link w:val="872"/>
    <w:uiPriority w:val="59"/>
    <w:rPr>
      <w:rFonts w:ascii="Calibri" w:hAnsi="Calibri" w:eastAsia="Calibri" w:cs="Times New Roman"/>
      <w:sz w:val="22"/>
      <w:szCs w:val="22"/>
      <w:lang w:eastAsia="en-US"/>
    </w:rPr>
    <w:tblPr/>
  </w:style>
  <w:style w:type="paragraph" w:styleId="885">
    <w:name w:val="Верхний колонтитул"/>
    <w:basedOn w:val="872"/>
    <w:next w:val="885"/>
    <w:link w:val="886"/>
    <w:uiPriority w:val="99"/>
    <w:pPr>
      <w:tabs>
        <w:tab w:val="center" w:pos="4677" w:leader="none"/>
        <w:tab w:val="right" w:pos="9355" w:leader="none"/>
      </w:tabs>
    </w:pPr>
  </w:style>
  <w:style w:type="character" w:styleId="886">
    <w:name w:val="Верхний колонтитул Знак"/>
    <w:next w:val="886"/>
    <w:link w:val="885"/>
    <w:uiPriority w:val="99"/>
    <w:rPr>
      <w:sz w:val="24"/>
      <w:szCs w:val="24"/>
    </w:rPr>
  </w:style>
  <w:style w:type="paragraph" w:styleId="887">
    <w:name w:val="Нижний колонтитул"/>
    <w:basedOn w:val="872"/>
    <w:next w:val="887"/>
    <w:link w:val="888"/>
    <w:pPr>
      <w:tabs>
        <w:tab w:val="center" w:pos="4677" w:leader="none"/>
        <w:tab w:val="right" w:pos="9355" w:leader="none"/>
      </w:tabs>
    </w:pPr>
  </w:style>
  <w:style w:type="character" w:styleId="888">
    <w:name w:val="Нижний колонтитул Знак"/>
    <w:next w:val="888"/>
    <w:link w:val="887"/>
    <w:rPr>
      <w:sz w:val="24"/>
      <w:szCs w:val="24"/>
    </w:rPr>
  </w:style>
  <w:style w:type="character" w:styleId="889" w:default="1">
    <w:name w:val="Default Paragraph Font"/>
    <w:uiPriority w:val="1"/>
    <w:semiHidden/>
    <w:unhideWhenUsed/>
  </w:style>
  <w:style w:type="numbering" w:styleId="890" w:default="1">
    <w:name w:val="No List"/>
    <w:uiPriority w:val="99"/>
    <w:semiHidden/>
    <w:unhideWhenUsed/>
  </w:style>
  <w:style w:type="table" w:styleId="8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артем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молодежи</dc:creator>
  <cp:revision>12</cp:revision>
  <dcterms:created xsi:type="dcterms:W3CDTF">2020-12-23T06:24:00Z</dcterms:created>
  <dcterms:modified xsi:type="dcterms:W3CDTF">2025-02-12T04:54:43Z</dcterms:modified>
  <cp:version>983040</cp:version>
</cp:coreProperties>
</file>