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5132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747"/>
        <w:gridCol w:w="5385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747" w:type="dxa"/>
            <w:vAlign w:val="top"/>
            <w:textDirection w:val="lrTb"/>
            <w:noWrap w:val="false"/>
          </w:tcPr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2"/>
              <w:tabs>
                <w:tab w:val="left" w:pos="669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85" w:type="dxa"/>
            <w:vAlign w:val="top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62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распоряжением</w:t>
            </w:r>
            <w:r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Артёмовско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городско</w:t>
            </w:r>
            <w:r>
              <w:rPr>
                <w:sz w:val="28"/>
                <w:szCs w:val="28"/>
              </w:rPr>
              <w:t xml:space="preserve">го</w:t>
            </w:r>
            <w:r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                         </w:t>
            </w: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6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2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МЕРОПРИЯТИЙ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2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(«дорожная карта») по снижению рисков нарушения антимонопольного законодательства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2"/>
        <w:ind w:left="54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управлени</w:t>
      </w:r>
      <w:r>
        <w:rPr>
          <w:b/>
          <w:sz w:val="28"/>
          <w:szCs w:val="28"/>
        </w:rPr>
        <w:t xml:space="preserve">ем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культуры, туризма и молодежной политики администрации Артемовского городского округа </w:t>
        <w:br/>
        <w:t xml:space="preserve">на 202</w:t>
      </w:r>
      <w:r>
        <w:rPr>
          <w:b/>
          <w:sz w:val="28"/>
          <w:szCs w:val="28"/>
        </w:rPr>
        <w:t xml:space="preserve">5 год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62"/>
        <w:ind w:left="5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15307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977"/>
        <w:gridCol w:w="4819"/>
        <w:gridCol w:w="3402"/>
        <w:gridCol w:w="1418"/>
        <w:gridCol w:w="21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№ п/п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Комплаенс-риск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4819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Общие меры по устранению рисков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Предложенные действия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Срок исполнения</w:t>
            </w:r>
            <w:r>
              <w:rPr>
                <w:rFonts w:eastAsia="Calibri"/>
                <w:b/>
                <w:color w:val="000000"/>
                <w:sz w:val="20"/>
                <w:szCs w:val="20"/>
              </w:rPr>
            </w:r>
            <w:r>
              <w:rPr>
                <w:rFonts w:eastAsia="Calibri"/>
                <w:b/>
                <w:color w:val="000000"/>
                <w:sz w:val="20"/>
                <w:szCs w:val="20"/>
              </w:rPr>
            </w:r>
          </w:p>
        </w:tc>
        <w:tc>
          <w:tcPr>
            <w:tcW w:w="2123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Ответственный </w:t>
            </w:r>
            <w:r>
              <w:rPr>
                <w:rFonts w:eastAsia="Calibri"/>
                <w:b/>
                <w:color w:val="000000"/>
                <w:sz w:val="20"/>
                <w:szCs w:val="20"/>
              </w:rPr>
            </w:r>
            <w:r>
              <w:rPr>
                <w:rFonts w:eastAsia="Calibri"/>
                <w:b/>
                <w:color w:val="000000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1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2977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2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4819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3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3402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4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5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tcW w:w="2123" w:type="dxa"/>
            <w:vAlign w:val="top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6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62"/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2977" w:type="dxa"/>
            <w:vAlign w:val="top"/>
            <w:textDirection w:val="lrTb"/>
            <w:noWrap w:val="false"/>
          </w:tcPr>
          <w:p>
            <w:pPr>
              <w:pStyle w:val="86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Нарушение антимонопольного законодательства при разработке и утверждении но</w:t>
            </w:r>
            <w:r>
              <w:rPr>
                <w:rFonts w:eastAsia="Calibri"/>
                <w:color w:val="000000"/>
                <w:lang w:eastAsia="en-US"/>
              </w:rPr>
              <w:t xml:space="preserve">рмативных правовых актов (НПА) </w:t>
            </w:r>
            <w:r>
              <w:rPr>
                <w:rFonts w:eastAsia="Calibri"/>
                <w:color w:val="000000"/>
                <w:lang w:eastAsia="en-US"/>
              </w:rPr>
              <w:t xml:space="preserve">управления культуры, туризма и молодежной политики администрации Артемовского городского округа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4819" w:type="dxa"/>
            <w:vAlign w:val="top"/>
            <w:textDirection w:val="lrTb"/>
            <w:noWrap w:val="false"/>
          </w:tcPr>
          <w:p>
            <w:pPr>
              <w:pStyle w:val="86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Анализ нормативных правовых актов и проектов нормативных </w:t>
            </w:r>
            <w:r>
              <w:rPr>
                <w:rFonts w:eastAsia="Calibri"/>
                <w:color w:val="000000"/>
                <w:lang w:eastAsia="en-US"/>
              </w:rPr>
              <w:t xml:space="preserve">правовых </w:t>
            </w:r>
            <w:r>
              <w:rPr>
                <w:rFonts w:eastAsia="Calibri"/>
                <w:color w:val="000000"/>
                <w:lang w:eastAsia="en-US"/>
              </w:rPr>
              <w:t xml:space="preserve">актов на предмет соответствия антимонопольному законодательству</w:t>
            </w:r>
            <w:r>
              <w:rPr>
                <w:rFonts w:eastAsia="Calibri"/>
                <w:color w:val="000000"/>
                <w:lang w:eastAsia="en-US"/>
              </w:rPr>
              <w:t xml:space="preserve">.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6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Анализ ранее выявленных нарушений</w:t>
            </w:r>
            <w:r>
              <w:rPr>
                <w:rFonts w:eastAsia="Calibri"/>
                <w:color w:val="000000"/>
                <w:lang w:eastAsia="en-US"/>
              </w:rPr>
              <w:t xml:space="preserve">.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6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Мониторинг и анализ практики применения антимонопольного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законодательства</w:t>
            </w:r>
            <w:r>
              <w:rPr>
                <w:rFonts w:eastAsia="Calibri"/>
                <w:color w:val="000000"/>
                <w:lang w:eastAsia="en-US"/>
              </w:rPr>
              <w:t xml:space="preserve">.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6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Совершенствование систем</w:t>
            </w:r>
            <w:r>
              <w:rPr>
                <w:rFonts w:eastAsia="Calibri"/>
                <w:color w:val="000000"/>
                <w:lang w:eastAsia="en-US"/>
              </w:rPr>
              <w:t xml:space="preserve">ы внутреннего контроля.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62"/>
            </w:pPr>
            <w:r>
              <w:rPr>
                <w:rFonts w:eastAsia="Calibri"/>
                <w:color w:val="000000"/>
                <w:lang w:eastAsia="en-US"/>
              </w:rPr>
              <w:t xml:space="preserve">Контроль за соблюдением действующего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антимонопольного законодательства</w:t>
            </w:r>
            <w:r/>
          </w:p>
        </w:tc>
        <w:tc>
          <w:tcPr>
            <w:shd w:val="clear" w:color="auto" w:fill="ffffff"/>
            <w:tcW w:w="3402" w:type="dxa"/>
            <w:vAlign w:val="top"/>
            <w:textDirection w:val="lrTb"/>
            <w:noWrap w:val="false"/>
          </w:tcPr>
          <w:p>
            <w:pPr>
              <w:pStyle w:val="862"/>
            </w:pPr>
            <w:r>
              <w:t xml:space="preserve">Мониторинг и анализ изменений, вносимых в НПА.</w:t>
            </w:r>
            <w:r/>
          </w:p>
          <w:p>
            <w:pPr>
              <w:pStyle w:val="862"/>
            </w:pPr>
            <w:r>
              <w:t xml:space="preserve">Анализ и устранение выявленных нарушений антимонопольного законодательства.</w:t>
            </w:r>
            <w:r/>
          </w:p>
          <w:p>
            <w:pPr>
              <w:pStyle w:val="862"/>
            </w:pPr>
            <w:r>
              <w:t xml:space="preserve">Уведомление работодателя о случаях склонения </w:t>
            </w:r>
            <w:r>
              <w:t xml:space="preserve">работников</w:t>
            </w:r>
            <w:r>
              <w:t xml:space="preserve"> управления к совершению коррупционных правонарушений</w:t>
            </w:r>
            <w:r/>
          </w:p>
        </w:tc>
        <w:tc>
          <w:tcPr>
            <w:shd w:val="clear" w:color="auto" w:fill="ffffff"/>
            <w:tcW w:w="1418" w:type="dxa"/>
            <w:vAlign w:val="top"/>
            <w:textDirection w:val="lrTb"/>
            <w:noWrap w:val="false"/>
          </w:tcPr>
          <w:p>
            <w:pPr>
              <w:pStyle w:val="862"/>
            </w:pPr>
            <w:r>
              <w:t xml:space="preserve">в</w:t>
            </w:r>
            <w:r>
              <w:t xml:space="preserve"> течение года</w:t>
            </w:r>
            <w:r/>
          </w:p>
        </w:tc>
        <w:tc>
          <w:tcPr>
            <w:shd w:val="clear" w:color="auto" w:fill="ffffff"/>
            <w:tcW w:w="2123" w:type="dxa"/>
            <w:vAlign w:val="top"/>
            <w:textDirection w:val="lrTb"/>
            <w:noWrap w:val="false"/>
          </w:tcPr>
          <w:p>
            <w:pPr>
              <w:pStyle w:val="862"/>
            </w:pPr>
            <w:r>
              <w:t xml:space="preserve">н</w:t>
            </w:r>
            <w:r>
              <w:t xml:space="preserve">ачальник управления культуры, туризма и молодежной политики 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22"/>
        </w:trPr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862"/>
              <w:numPr>
                <w:ilvl w:val="0"/>
                <w:numId w:val="1"/>
              </w:num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2977" w:type="dxa"/>
            <w:vAlign w:val="top"/>
            <w:textDirection w:val="lrTb"/>
            <w:noWrap w:val="false"/>
          </w:tcPr>
          <w:p>
            <w:pPr>
              <w:pStyle w:val="86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Нарушение антимонопольного законодательства при подготовке ответов на обращения физических и юридических лиц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4819" w:type="dxa"/>
            <w:vAlign w:val="top"/>
            <w:textDirection w:val="lrTb"/>
            <w:noWrap w:val="false"/>
          </w:tcPr>
          <w:p>
            <w:pPr>
              <w:pStyle w:val="86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Разъяснение </w:t>
            </w:r>
            <w:r>
              <w:rPr>
                <w:rFonts w:eastAsia="Calibri"/>
                <w:color w:val="000000"/>
                <w:lang w:eastAsia="en-US"/>
              </w:rPr>
              <w:t xml:space="preserve">работникам </w:t>
            </w:r>
            <w:r>
              <w:rPr>
                <w:rFonts w:eastAsia="Calibri"/>
                <w:color w:val="000000"/>
                <w:lang w:eastAsia="en-US"/>
              </w:rPr>
              <w:t xml:space="preserve">управления требо</w:t>
            </w:r>
            <w:r>
              <w:rPr>
                <w:rFonts w:eastAsia="Calibri"/>
                <w:color w:val="000000"/>
                <w:lang w:eastAsia="en-US"/>
              </w:rPr>
              <w:t xml:space="preserve">ваний Федерального закона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  <w:br/>
            </w:r>
            <w:r>
              <w:rPr>
                <w:rFonts w:eastAsia="Calibri"/>
                <w:color w:val="000000"/>
                <w:lang w:eastAsia="en-US"/>
              </w:rPr>
              <w:t xml:space="preserve">от 02.05.2006 №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59-ФЗ «О порядке рассмотрения обращений граждан Российской Федерации</w:t>
            </w:r>
            <w:r>
              <w:rPr>
                <w:rFonts w:eastAsia="Calibri"/>
                <w:color w:val="000000"/>
                <w:lang w:eastAsia="en-US"/>
              </w:rPr>
              <w:t xml:space="preserve">».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62"/>
              <w:rPr>
                <w:rFonts w:eastAsia="Calibri"/>
                <w:color w:val="000000"/>
                <w:highlight w:val="none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Контроль за соблюдением порядка </w:t>
            </w:r>
            <w:r>
              <w:rPr>
                <w:rFonts w:eastAsia="Calibri"/>
                <w:color w:val="000000"/>
                <w:highlight w:val="none"/>
                <w:lang w:eastAsia="en-US"/>
              </w:rPr>
            </w:r>
            <w:r>
              <w:rPr>
                <w:rFonts w:eastAsia="Calibri"/>
                <w:color w:val="000000"/>
                <w:highlight w:val="none"/>
                <w:lang w:eastAsia="en-US"/>
              </w:rPr>
            </w:r>
          </w:p>
        </w:tc>
        <w:tc>
          <w:tcPr>
            <w:shd w:val="clear" w:color="auto" w:fill="ffffff"/>
            <w:tcW w:w="3402" w:type="dxa"/>
            <w:vAlign w:val="top"/>
            <w:textDirection w:val="lrTb"/>
            <w:noWrap w:val="false"/>
          </w:tcPr>
          <w:p>
            <w:pPr>
              <w:pStyle w:val="862"/>
            </w:pPr>
            <w:r>
              <w:t xml:space="preserve">Усиление внутреннего контроля за соблюдением порядка рассмотрения обращений </w:t>
            </w:r>
            <w:r>
              <w:t xml:space="preserve">физических и юридических лиц</w:t>
            </w:r>
            <w:r/>
          </w:p>
        </w:tc>
        <w:tc>
          <w:tcPr>
            <w:shd w:val="clear" w:color="auto" w:fill="ffffff"/>
            <w:tcW w:w="1418" w:type="dxa"/>
            <w:vAlign w:val="top"/>
            <w:textDirection w:val="lrTb"/>
            <w:noWrap w:val="false"/>
          </w:tcPr>
          <w:p>
            <w:pPr>
              <w:pStyle w:val="862"/>
            </w:pPr>
            <w:r>
              <w:t xml:space="preserve">в</w:t>
            </w:r>
            <w:r>
              <w:t xml:space="preserve"> течение года</w:t>
            </w:r>
            <w:r/>
          </w:p>
        </w:tc>
        <w:tc>
          <w:tcPr>
            <w:shd w:val="clear" w:color="auto" w:fill="ffffff"/>
            <w:tcW w:w="2123" w:type="dxa"/>
            <w:vAlign w:val="top"/>
            <w:textDirection w:val="lrTb"/>
            <w:noWrap w:val="false"/>
          </w:tcPr>
          <w:p>
            <w:pPr>
              <w:pStyle w:val="862"/>
            </w:pPr>
            <w:r>
              <w:t xml:space="preserve">н</w:t>
            </w:r>
            <w:r>
              <w:t xml:space="preserve">ачальник управления культуры, туризма и молодежной политики </w:t>
            </w:r>
            <w:r/>
          </w:p>
        </w:tc>
      </w:tr>
      <w:tr>
        <w:tblPrEx/>
        <w:trPr>
          <w:trHeight w:val="245"/>
        </w:trPr>
        <w:tc>
          <w:tcPr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1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2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W w:w="4819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3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4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5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W w:w="212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6</w:t>
            </w:r>
            <w:r>
              <w:rPr>
                <w:rFonts w:eastAsia="Calibri"/>
                <w:b/>
                <w:sz w:val="20"/>
                <w:szCs w:val="20"/>
              </w:rPr>
            </w:r>
            <w:r>
              <w:rPr>
                <w:rFonts w:eastAsia="Calibri"/>
                <w:b/>
                <w:sz w:val="20"/>
                <w:szCs w:val="20"/>
              </w:rPr>
            </w:r>
          </w:p>
        </w:tc>
      </w:tr>
      <w:tr>
        <w:tblPrEx/>
        <w:trPr>
          <w:trHeight w:val="670"/>
        </w:trPr>
        <w:tc>
          <w:tcPr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360" w:firstLine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ffffff" w:fill="ffffff"/>
            <w:tcW w:w="2977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ffffff" w:fill="ffffff"/>
            <w:tcW w:w="4819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eastAsia="Calibri"/>
                <w:color w:val="000000"/>
                <w:highlight w:val="none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рассмотрения</w:t>
            </w:r>
            <w: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обращений </w:t>
            </w:r>
            <w:r>
              <w:rPr>
                <w:rFonts w:eastAsia="Calibri"/>
                <w:color w:val="000000"/>
                <w:lang w:eastAsia="en-US"/>
              </w:rPr>
              <w:t xml:space="preserve">физических и юридических лиц</w:t>
            </w:r>
            <w:r>
              <w:rPr>
                <w:rFonts w:eastAsia="Calibri"/>
                <w:color w:val="000000"/>
                <w:highlight w:val="none"/>
                <w:lang w:eastAsia="en-US"/>
              </w:rPr>
            </w:r>
            <w:r>
              <w:rPr>
                <w:rFonts w:eastAsia="Calibri"/>
                <w:color w:val="000000"/>
                <w:highlight w:val="none"/>
                <w:lang w:eastAsia="en-US"/>
              </w:rPr>
            </w:r>
          </w:p>
        </w:tc>
        <w:tc>
          <w:tcPr>
            <w:shd w:val="clear" w:color="ffffff" w:fill="ffffff"/>
            <w:tcW w:w="3402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</w:pPr>
            <w:r/>
            <w:r/>
          </w:p>
        </w:tc>
        <w:tc>
          <w:tcPr>
            <w:shd w:val="clear" w:color="ffffff" w:fill="ffffff"/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</w:pPr>
            <w:r/>
            <w:r/>
          </w:p>
        </w:tc>
        <w:tc>
          <w:tcPr>
            <w:shd w:val="clear" w:color="ffffff" w:fill="ffffff"/>
            <w:tcW w:w="212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</w:pPr>
            <w:r/>
            <w:r/>
          </w:p>
        </w:tc>
      </w:tr>
    </w:tbl>
    <w:sectPr>
      <w:headerReference w:type="default" r:id="rId9"/>
      <w:footnotePr/>
      <w:endnotePr/>
      <w:type w:val="nextPage"/>
      <w:pgSz w:w="16838" w:h="11906" w:orient="landscape"/>
      <w:pgMar w:top="567" w:right="851" w:bottom="567" w:left="567" w:header="567" w:footer="709" w:gutter="567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  <w:rPr>
        <w:highlight w:val="none"/>
      </w:rPr>
    </w:pPr>
    <w:r>
      <w:fldChar w:fldCharType="begin"/>
    </w:r>
    <w:r>
      <w:instrText xml:space="preserve"> PAGE   \* MERGEFORMAT </w:instrText>
    </w:r>
    <w:r>
      <w:rPr>
        <w:sz w:val="28"/>
        <w:szCs w:val="28"/>
      </w:rPr>
      <w:fldChar w:fldCharType="separate"/>
    </w:r>
    <w:r>
      <w:t xml:space="preserve">2</w:t>
    </w:r>
    <w:r>
      <w:fldChar w:fldCharType="end"/>
    </w:r>
    <w:r>
      <w:rPr>
        <w:highlight w:val="none"/>
      </w:rPr>
    </w:r>
    <w:r>
      <w:rPr>
        <w:highlight w:val="none"/>
      </w:rPr>
    </w:r>
  </w:p>
  <w:p>
    <w:pPr>
      <w:pStyle w:val="870"/>
      <w:jc w:val="center"/>
    </w:pPr>
    <w:r/>
    <w:r/>
  </w:p>
  <w:p>
    <w:pPr>
      <w:pStyle w:val="870"/>
      <w:jc w:val="center"/>
    </w:pPr>
    <w:r/>
    <w:r/>
  </w:p>
  <w:p>
    <w:pPr>
      <w:pStyle w:val="870"/>
      <w:jc w:val="center"/>
    </w:pPr>
    <w:r>
      <w:rPr>
        <w:highlight w:val="none"/>
      </w:rPr>
    </w:r>
    <w:r>
      <w:rPr>
        <w:highlight w:val="none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List Paragraph"/>
    <w:basedOn w:val="862"/>
    <w:uiPriority w:val="34"/>
    <w:qFormat/>
    <w:pPr>
      <w:contextualSpacing/>
      <w:ind w:left="720"/>
    </w:pPr>
  </w:style>
  <w:style w:type="paragraph" w:styleId="703">
    <w:name w:val="No Spacing"/>
    <w:uiPriority w:val="1"/>
    <w:qFormat/>
    <w:pPr>
      <w:spacing w:before="0" w:after="0" w:line="240" w:lineRule="auto"/>
    </w:pPr>
  </w:style>
  <w:style w:type="paragraph" w:styleId="704">
    <w:name w:val="Title"/>
    <w:basedOn w:val="862"/>
    <w:next w:val="862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>
    <w:name w:val="Title Char"/>
    <w:link w:val="704"/>
    <w:uiPriority w:val="10"/>
    <w:rPr>
      <w:sz w:val="48"/>
      <w:szCs w:val="48"/>
    </w:rPr>
  </w:style>
  <w:style w:type="paragraph" w:styleId="706">
    <w:name w:val="Subtitle"/>
    <w:basedOn w:val="862"/>
    <w:next w:val="862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>
    <w:name w:val="Subtitle Char"/>
    <w:link w:val="706"/>
    <w:uiPriority w:val="11"/>
    <w:rPr>
      <w:sz w:val="24"/>
      <w:szCs w:val="24"/>
    </w:rPr>
  </w:style>
  <w:style w:type="paragraph" w:styleId="708">
    <w:name w:val="Quote"/>
    <w:basedOn w:val="862"/>
    <w:next w:val="862"/>
    <w:link w:val="709"/>
    <w:uiPriority w:val="29"/>
    <w:qFormat/>
    <w:pPr>
      <w:ind w:left="720" w:right="720"/>
    </w:pPr>
    <w:rPr>
      <w:i/>
    </w:rPr>
  </w:style>
  <w:style w:type="character" w:styleId="709">
    <w:name w:val="Quote Char"/>
    <w:link w:val="708"/>
    <w:uiPriority w:val="29"/>
    <w:rPr>
      <w:i/>
    </w:rPr>
  </w:style>
  <w:style w:type="paragraph" w:styleId="710">
    <w:name w:val="Intense Quote"/>
    <w:basedOn w:val="862"/>
    <w:next w:val="862"/>
    <w:link w:val="71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>
    <w:name w:val="Intense Quote Char"/>
    <w:link w:val="710"/>
    <w:uiPriority w:val="30"/>
    <w:rPr>
      <w:i/>
    </w:rPr>
  </w:style>
  <w:style w:type="paragraph" w:styleId="712">
    <w:name w:val="Header"/>
    <w:basedOn w:val="862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>
    <w:name w:val="Header Char"/>
    <w:link w:val="712"/>
    <w:uiPriority w:val="99"/>
  </w:style>
  <w:style w:type="paragraph" w:styleId="714">
    <w:name w:val="Footer"/>
    <w:basedOn w:val="862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Footer Char"/>
    <w:link w:val="714"/>
    <w:uiPriority w:val="99"/>
  </w:style>
  <w:style w:type="paragraph" w:styleId="716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714"/>
    <w:uiPriority w:val="99"/>
  </w:style>
  <w:style w:type="table" w:styleId="71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next w:val="862"/>
    <w:link w:val="862"/>
    <w:qFormat/>
    <w:rPr>
      <w:sz w:val="24"/>
      <w:szCs w:val="24"/>
      <w:lang w:val="ru-RU" w:eastAsia="ru-RU" w:bidi="ar-SA"/>
    </w:rPr>
  </w:style>
  <w:style w:type="paragraph" w:styleId="863">
    <w:name w:val="Заголовок 5"/>
    <w:basedOn w:val="862"/>
    <w:next w:val="862"/>
    <w:link w:val="876"/>
    <w:uiPriority w:val="9"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character" w:styleId="864">
    <w:name w:val="Основной шрифт абзаца"/>
    <w:next w:val="864"/>
    <w:link w:val="862"/>
    <w:semiHidden/>
  </w:style>
  <w:style w:type="table" w:styleId="865">
    <w:name w:val="Обычная таблица"/>
    <w:next w:val="865"/>
    <w:link w:val="862"/>
    <w:semiHidden/>
    <w:tblPr/>
  </w:style>
  <w:style w:type="numbering" w:styleId="866">
    <w:name w:val="Нет списка"/>
    <w:next w:val="866"/>
    <w:link w:val="862"/>
    <w:semiHidden/>
  </w:style>
  <w:style w:type="table" w:styleId="867">
    <w:name w:val="Сетка таблицы"/>
    <w:basedOn w:val="865"/>
    <w:next w:val="867"/>
    <w:link w:val="862"/>
    <w:tblPr/>
  </w:style>
  <w:style w:type="paragraph" w:styleId="868">
    <w:name w:val="Текст выноски"/>
    <w:basedOn w:val="862"/>
    <w:next w:val="868"/>
    <w:link w:val="869"/>
    <w:rPr>
      <w:rFonts w:ascii="Tahoma" w:hAnsi="Tahoma"/>
      <w:sz w:val="16"/>
      <w:szCs w:val="16"/>
      <w:lang w:val="en-US" w:eastAsia="en-US"/>
    </w:rPr>
  </w:style>
  <w:style w:type="character" w:styleId="869">
    <w:name w:val="Текст выноски Знак"/>
    <w:next w:val="869"/>
    <w:link w:val="868"/>
    <w:rPr>
      <w:rFonts w:ascii="Tahoma" w:hAnsi="Tahoma" w:cs="Tahoma"/>
      <w:sz w:val="16"/>
      <w:szCs w:val="16"/>
    </w:rPr>
  </w:style>
  <w:style w:type="paragraph" w:styleId="870">
    <w:name w:val="Верхний колонтитул"/>
    <w:basedOn w:val="862"/>
    <w:next w:val="870"/>
    <w:link w:val="871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1">
    <w:name w:val="Верхний колонтитул Знак"/>
    <w:next w:val="871"/>
    <w:link w:val="870"/>
    <w:uiPriority w:val="99"/>
    <w:rPr>
      <w:sz w:val="24"/>
      <w:szCs w:val="24"/>
    </w:rPr>
  </w:style>
  <w:style w:type="paragraph" w:styleId="872">
    <w:name w:val="Нижний колонтитул"/>
    <w:basedOn w:val="862"/>
    <w:next w:val="872"/>
    <w:link w:val="873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73">
    <w:name w:val="Нижний колонтитул Знак"/>
    <w:next w:val="873"/>
    <w:link w:val="872"/>
    <w:rPr>
      <w:sz w:val="24"/>
      <w:szCs w:val="24"/>
    </w:rPr>
  </w:style>
  <w:style w:type="paragraph" w:styleId="874">
    <w:name w:val="Стандартный HTML"/>
    <w:basedOn w:val="862"/>
    <w:next w:val="874"/>
    <w:link w:val="875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  <w:lang w:val="en-US" w:eastAsia="en-US"/>
    </w:rPr>
  </w:style>
  <w:style w:type="character" w:styleId="875">
    <w:name w:val="Стандартный HTML Знак"/>
    <w:next w:val="875"/>
    <w:link w:val="874"/>
    <w:rPr>
      <w:rFonts w:ascii="Courier New" w:hAnsi="Courier New" w:cs="Courier New"/>
    </w:rPr>
  </w:style>
  <w:style w:type="character" w:styleId="876">
    <w:name w:val="Заголовок 5 Знак"/>
    <w:next w:val="876"/>
    <w:link w:val="863"/>
    <w:uiPriority w:val="9"/>
    <w:rPr>
      <w:rFonts w:ascii="Calibri" w:hAnsi="Calibri"/>
      <w:b/>
      <w:bCs/>
      <w:i/>
      <w:iCs/>
      <w:sz w:val="26"/>
      <w:szCs w:val="26"/>
    </w:rPr>
  </w:style>
  <w:style w:type="table" w:styleId="877">
    <w:name w:val="Сетка таблицы1"/>
    <w:basedOn w:val="865"/>
    <w:next w:val="867"/>
    <w:link w:val="862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878" w:default="1">
    <w:name w:val="Default Paragraph Font"/>
    <w:uiPriority w:val="1"/>
    <w:semiHidden/>
    <w:unhideWhenUsed/>
  </w:style>
  <w:style w:type="numbering" w:styleId="879" w:default="1">
    <w:name w:val="No List"/>
    <w:uiPriority w:val="99"/>
    <w:semiHidden/>
    <w:unhideWhenUsed/>
  </w:style>
  <w:style w:type="table" w:styleId="88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</dc:title>
  <dc:creator>Admin</dc:creator>
  <cp:revision>265</cp:revision>
  <dcterms:created xsi:type="dcterms:W3CDTF">2016-02-25T01:09:00Z</dcterms:created>
  <dcterms:modified xsi:type="dcterms:W3CDTF">2025-02-13T06:06:51Z</dcterms:modified>
  <cp:version>983040</cp:version>
</cp:coreProperties>
</file>